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55524" w14:textId="0E0592CB" w:rsidR="007143C7" w:rsidRPr="00231A4E" w:rsidRDefault="007143C7" w:rsidP="009B48F4">
      <w:pPr>
        <w:pStyle w:val="Ttulo"/>
        <w:keepNext/>
        <w:rPr>
          <w:rFonts w:ascii="ZapfHumnst BT" w:hAnsi="ZapfHumnst BT" w:cs="Arial"/>
          <w:i w:val="0"/>
          <w:sz w:val="23"/>
          <w:szCs w:val="23"/>
          <w:u w:val="none"/>
        </w:rPr>
      </w:pPr>
      <w:r w:rsidRPr="00231A4E">
        <w:rPr>
          <w:rFonts w:ascii="ZapfHumnst BT" w:hAnsi="ZapfHumnst BT" w:cs="Arial"/>
          <w:i w:val="0"/>
          <w:sz w:val="23"/>
          <w:szCs w:val="23"/>
          <w:u w:val="none"/>
        </w:rPr>
        <w:t>ATA DA SESSÃO ORDINÁRIA DA PRIMEIRA CÂMARA Nº 0</w:t>
      </w:r>
      <w:r w:rsidR="0073004C" w:rsidRPr="00231A4E">
        <w:rPr>
          <w:rFonts w:ascii="ZapfHumnst BT" w:hAnsi="ZapfHumnst BT" w:cs="Arial"/>
          <w:i w:val="0"/>
          <w:sz w:val="23"/>
          <w:szCs w:val="23"/>
          <w:u w:val="none"/>
        </w:rPr>
        <w:t>1</w:t>
      </w:r>
      <w:r w:rsidR="00065028" w:rsidRPr="00231A4E">
        <w:rPr>
          <w:rFonts w:ascii="ZapfHumnst BT" w:hAnsi="ZapfHumnst BT" w:cs="Arial"/>
          <w:i w:val="0"/>
          <w:sz w:val="23"/>
          <w:szCs w:val="23"/>
          <w:u w:val="none"/>
        </w:rPr>
        <w:t>3</w:t>
      </w:r>
      <w:r w:rsidRPr="00231A4E">
        <w:rPr>
          <w:rFonts w:ascii="ZapfHumnst BT" w:hAnsi="ZapfHumnst BT" w:cs="Arial"/>
          <w:i w:val="0"/>
          <w:sz w:val="23"/>
          <w:szCs w:val="23"/>
          <w:u w:val="none"/>
        </w:rPr>
        <w:t>/202</w:t>
      </w:r>
      <w:r w:rsidR="001068E0" w:rsidRPr="00231A4E">
        <w:rPr>
          <w:rFonts w:ascii="ZapfHumnst BT" w:hAnsi="ZapfHumnst BT" w:cs="Arial"/>
          <w:i w:val="0"/>
          <w:sz w:val="23"/>
          <w:szCs w:val="23"/>
          <w:u w:val="none"/>
        </w:rPr>
        <w:t>6</w:t>
      </w:r>
    </w:p>
    <w:p w14:paraId="42C03A97" w14:textId="77777777" w:rsidR="007143C7" w:rsidRPr="00231A4E" w:rsidRDefault="007143C7" w:rsidP="009B48F4">
      <w:pPr>
        <w:keepNext/>
        <w:jc w:val="both"/>
        <w:rPr>
          <w:rFonts w:ascii="ZapfHumnst BT" w:hAnsi="ZapfHumnst BT" w:cs="Arial"/>
          <w:sz w:val="23"/>
          <w:szCs w:val="23"/>
        </w:rPr>
      </w:pPr>
    </w:p>
    <w:p w14:paraId="63949E00" w14:textId="77777777" w:rsidR="007143C7" w:rsidRPr="00231A4E" w:rsidRDefault="007143C7" w:rsidP="009B48F4">
      <w:pPr>
        <w:keepNext/>
        <w:jc w:val="both"/>
        <w:rPr>
          <w:rFonts w:ascii="ZapfHumnst BT" w:hAnsi="ZapfHumnst BT" w:cs="Arial"/>
          <w:sz w:val="23"/>
          <w:szCs w:val="23"/>
        </w:rPr>
      </w:pPr>
    </w:p>
    <w:p w14:paraId="7F701879" w14:textId="3F504213" w:rsidR="006125BF" w:rsidRPr="00231A4E" w:rsidRDefault="00CF4ABC" w:rsidP="009B48F4">
      <w:pPr>
        <w:jc w:val="both"/>
        <w:rPr>
          <w:rFonts w:ascii="ZapfHumnst BT" w:hAnsi="ZapfHumnst BT" w:cs="Arial"/>
          <w:sz w:val="23"/>
          <w:szCs w:val="23"/>
        </w:rPr>
      </w:pPr>
      <w:r w:rsidRPr="00231A4E">
        <w:rPr>
          <w:rFonts w:ascii="ZapfHumnst BT" w:hAnsi="ZapfHumnst BT" w:cs="Arial"/>
          <w:sz w:val="23"/>
          <w:szCs w:val="23"/>
        </w:rPr>
        <w:t xml:space="preserve">Aos </w:t>
      </w:r>
      <w:r w:rsidR="00065028" w:rsidRPr="00231A4E">
        <w:rPr>
          <w:rFonts w:ascii="ZapfHumnst BT" w:hAnsi="ZapfHumnst BT" w:cs="Arial"/>
          <w:sz w:val="23"/>
          <w:szCs w:val="23"/>
        </w:rPr>
        <w:t xml:space="preserve">vinte e um </w:t>
      </w:r>
      <w:r w:rsidR="007B588E" w:rsidRPr="00231A4E">
        <w:rPr>
          <w:rFonts w:ascii="ZapfHumnst BT" w:hAnsi="ZapfHumnst BT" w:cs="Arial"/>
          <w:sz w:val="23"/>
          <w:szCs w:val="23"/>
        </w:rPr>
        <w:t xml:space="preserve">dias </w:t>
      </w:r>
      <w:r w:rsidR="00F618B7" w:rsidRPr="00231A4E">
        <w:rPr>
          <w:rFonts w:ascii="ZapfHumnst BT" w:hAnsi="ZapfHumnst BT" w:cs="Arial"/>
          <w:sz w:val="23"/>
          <w:szCs w:val="23"/>
        </w:rPr>
        <w:t xml:space="preserve">do </w:t>
      </w:r>
      <w:r w:rsidRPr="00231A4E">
        <w:rPr>
          <w:rFonts w:ascii="ZapfHumnst BT" w:hAnsi="ZapfHumnst BT" w:cs="Arial"/>
          <w:sz w:val="23"/>
          <w:szCs w:val="23"/>
        </w:rPr>
        <w:t xml:space="preserve">mês de </w:t>
      </w:r>
      <w:r w:rsidR="007B588E" w:rsidRPr="00231A4E">
        <w:rPr>
          <w:rFonts w:ascii="ZapfHumnst BT" w:hAnsi="ZapfHumnst BT" w:cs="Arial"/>
          <w:sz w:val="23"/>
          <w:szCs w:val="23"/>
        </w:rPr>
        <w:t>ju</w:t>
      </w:r>
      <w:r w:rsidR="00FC71BA" w:rsidRPr="00231A4E">
        <w:rPr>
          <w:rFonts w:ascii="ZapfHumnst BT" w:hAnsi="ZapfHumnst BT" w:cs="Arial"/>
          <w:sz w:val="23"/>
          <w:szCs w:val="23"/>
        </w:rPr>
        <w:t>l</w:t>
      </w:r>
      <w:r w:rsidR="007B588E" w:rsidRPr="00231A4E">
        <w:rPr>
          <w:rFonts w:ascii="ZapfHumnst BT" w:hAnsi="ZapfHumnst BT" w:cs="Arial"/>
          <w:sz w:val="23"/>
          <w:szCs w:val="23"/>
        </w:rPr>
        <w:t>ho</w:t>
      </w:r>
      <w:r w:rsidR="004758C4" w:rsidRPr="00231A4E">
        <w:rPr>
          <w:rFonts w:ascii="ZapfHumnst BT" w:hAnsi="ZapfHumnst BT" w:cs="Arial"/>
          <w:sz w:val="23"/>
          <w:szCs w:val="23"/>
        </w:rPr>
        <w:t xml:space="preserve"> </w:t>
      </w:r>
      <w:r w:rsidRPr="00231A4E">
        <w:rPr>
          <w:rFonts w:ascii="ZapfHumnst BT" w:hAnsi="ZapfHumnst BT" w:cs="Arial"/>
          <w:sz w:val="23"/>
          <w:szCs w:val="23"/>
        </w:rPr>
        <w:t xml:space="preserve">do ano de dois mil e vinte e </w:t>
      </w:r>
      <w:r w:rsidR="001068E0" w:rsidRPr="00231A4E">
        <w:rPr>
          <w:rFonts w:ascii="ZapfHumnst BT" w:hAnsi="ZapfHumnst BT" w:cs="Arial"/>
          <w:sz w:val="23"/>
          <w:szCs w:val="23"/>
        </w:rPr>
        <w:t>seis</w:t>
      </w:r>
      <w:r w:rsidRPr="00231A4E">
        <w:rPr>
          <w:rFonts w:ascii="ZapfHumnst BT" w:hAnsi="ZapfHumnst BT" w:cs="Arial"/>
          <w:sz w:val="23"/>
          <w:szCs w:val="23"/>
        </w:rPr>
        <w:t>, em Teresina, Capital do Estado do Piauí, às nove horas, na Sala das Sessões, reuniu-se ordinariamente, a Primeira Câmara do Tribunal de Contas do Estado do Piauí, sob a Presidência</w:t>
      </w:r>
      <w:r w:rsidR="0027038A" w:rsidRPr="00231A4E">
        <w:rPr>
          <w:rFonts w:ascii="ZapfHumnst BT" w:hAnsi="ZapfHumnst BT" w:cs="Arial"/>
          <w:sz w:val="23"/>
          <w:szCs w:val="23"/>
        </w:rPr>
        <w:t xml:space="preserve"> </w:t>
      </w:r>
      <w:r w:rsidR="001C5B6C" w:rsidRPr="00231A4E">
        <w:rPr>
          <w:rFonts w:ascii="ZapfHumnst BT" w:hAnsi="ZapfHumnst BT" w:cs="Arial"/>
          <w:sz w:val="23"/>
          <w:szCs w:val="23"/>
        </w:rPr>
        <w:t>d</w:t>
      </w:r>
      <w:r w:rsidR="000C4E9B" w:rsidRPr="00231A4E">
        <w:rPr>
          <w:rFonts w:ascii="ZapfHumnst BT" w:hAnsi="ZapfHumnst BT" w:cs="Arial"/>
          <w:sz w:val="23"/>
          <w:szCs w:val="23"/>
        </w:rPr>
        <w:t>a</w:t>
      </w:r>
      <w:r w:rsidR="001C5B6C" w:rsidRPr="00231A4E">
        <w:rPr>
          <w:rFonts w:ascii="ZapfHumnst BT" w:hAnsi="ZapfHumnst BT" w:cs="Arial"/>
          <w:sz w:val="23"/>
          <w:szCs w:val="23"/>
        </w:rPr>
        <w:t xml:space="preserve"> </w:t>
      </w:r>
      <w:r w:rsidR="00B64DA8" w:rsidRPr="00231A4E">
        <w:rPr>
          <w:rFonts w:ascii="ZapfHumnst BT" w:hAnsi="ZapfHumnst BT" w:cs="Arial"/>
          <w:sz w:val="23"/>
          <w:szCs w:val="23"/>
        </w:rPr>
        <w:t>Exm</w:t>
      </w:r>
      <w:r w:rsidR="00945381" w:rsidRPr="00231A4E">
        <w:rPr>
          <w:rFonts w:ascii="ZapfHumnst BT" w:hAnsi="ZapfHumnst BT" w:cs="Arial"/>
          <w:sz w:val="23"/>
          <w:szCs w:val="23"/>
        </w:rPr>
        <w:t>a</w:t>
      </w:r>
      <w:r w:rsidR="00B64DA8" w:rsidRPr="00231A4E">
        <w:rPr>
          <w:rFonts w:ascii="ZapfHumnst BT" w:hAnsi="ZapfHumnst BT" w:cs="Arial"/>
          <w:sz w:val="23"/>
          <w:szCs w:val="23"/>
        </w:rPr>
        <w:t>. Sr</w:t>
      </w:r>
      <w:r w:rsidR="00945381" w:rsidRPr="00231A4E">
        <w:rPr>
          <w:rFonts w:ascii="ZapfHumnst BT" w:hAnsi="ZapfHumnst BT" w:cs="Arial"/>
          <w:sz w:val="23"/>
          <w:szCs w:val="23"/>
        </w:rPr>
        <w:t>a</w:t>
      </w:r>
      <w:r w:rsidRPr="00231A4E">
        <w:rPr>
          <w:rFonts w:ascii="ZapfHumnst BT" w:hAnsi="ZapfHumnst BT" w:cs="Arial"/>
          <w:sz w:val="23"/>
          <w:szCs w:val="23"/>
        </w:rPr>
        <w:t xml:space="preserve">. </w:t>
      </w:r>
      <w:r w:rsidR="004758C4" w:rsidRPr="00231A4E">
        <w:rPr>
          <w:rFonts w:ascii="ZapfHumnst BT" w:hAnsi="ZapfHumnst BT" w:cs="Arial"/>
          <w:sz w:val="23"/>
          <w:szCs w:val="23"/>
        </w:rPr>
        <w:t>Cons.</w:t>
      </w:r>
      <w:r w:rsidR="00945381" w:rsidRPr="00231A4E">
        <w:rPr>
          <w:rFonts w:ascii="ZapfHumnst BT" w:hAnsi="ZapfHumnst BT" w:cs="Arial"/>
          <w:sz w:val="23"/>
          <w:szCs w:val="23"/>
        </w:rPr>
        <w:t>ª</w:t>
      </w:r>
      <w:r w:rsidR="0027038A" w:rsidRPr="00231A4E">
        <w:rPr>
          <w:rFonts w:ascii="ZapfHumnst BT" w:hAnsi="ZapfHumnst BT" w:cs="Arial"/>
          <w:sz w:val="23"/>
          <w:szCs w:val="23"/>
        </w:rPr>
        <w:t xml:space="preserve"> </w:t>
      </w:r>
      <w:r w:rsidR="00945381" w:rsidRPr="00231A4E">
        <w:rPr>
          <w:rFonts w:ascii="ZapfHumnst BT" w:hAnsi="ZapfHumnst BT" w:cs="Arial"/>
          <w:sz w:val="23"/>
          <w:szCs w:val="23"/>
        </w:rPr>
        <w:t>Rejane Ribeiro Sousa Dias</w:t>
      </w:r>
      <w:r w:rsidR="00F110E5" w:rsidRPr="00231A4E">
        <w:rPr>
          <w:rFonts w:ascii="ZapfHumnst BT" w:eastAsia="Times New Roman" w:hAnsi="ZapfHumnst BT" w:cs="Arial"/>
          <w:sz w:val="23"/>
          <w:szCs w:val="23"/>
        </w:rPr>
        <w:t xml:space="preserve">. </w:t>
      </w:r>
      <w:r w:rsidR="00982F9F" w:rsidRPr="00231A4E">
        <w:rPr>
          <w:rFonts w:ascii="ZapfHumnst BT" w:hAnsi="ZapfHumnst BT" w:cs="Arial"/>
          <w:sz w:val="23"/>
          <w:szCs w:val="23"/>
        </w:rPr>
        <w:t>Presentes, também</w:t>
      </w:r>
      <w:r w:rsidR="004758C4" w:rsidRPr="00231A4E">
        <w:rPr>
          <w:rFonts w:ascii="ZapfHumnst BT" w:hAnsi="ZapfHumnst BT" w:cs="Arial"/>
          <w:sz w:val="23"/>
          <w:szCs w:val="23"/>
        </w:rPr>
        <w:t xml:space="preserve">: </w:t>
      </w:r>
      <w:r w:rsidR="00025B18" w:rsidRPr="00231A4E">
        <w:rPr>
          <w:rFonts w:ascii="ZapfHumnst BT" w:hAnsi="ZapfHumnst BT" w:cs="Arial"/>
          <w:sz w:val="23"/>
          <w:szCs w:val="23"/>
        </w:rPr>
        <w:t xml:space="preserve">o </w:t>
      </w:r>
      <w:r w:rsidR="00025B18" w:rsidRPr="00231A4E">
        <w:rPr>
          <w:rFonts w:ascii="ZapfHumnst BT" w:eastAsia="Times New Roman" w:hAnsi="ZapfHumnst BT" w:cs="Arial"/>
          <w:sz w:val="23"/>
          <w:szCs w:val="23"/>
        </w:rPr>
        <w:t>Cons. Kleber Dantas Eulálio;</w:t>
      </w:r>
      <w:r w:rsidR="00025B18" w:rsidRPr="00231A4E">
        <w:rPr>
          <w:rFonts w:ascii="ZapfHumnst BT" w:hAnsi="ZapfHumnst BT" w:cs="Arial"/>
          <w:sz w:val="23"/>
          <w:szCs w:val="23"/>
        </w:rPr>
        <w:t xml:space="preserve"> </w:t>
      </w:r>
      <w:r w:rsidR="00F178DB" w:rsidRPr="00231A4E">
        <w:rPr>
          <w:rFonts w:ascii="ZapfHumnst BT" w:hAnsi="ZapfHumnst BT" w:cs="Arial"/>
          <w:sz w:val="23"/>
          <w:szCs w:val="23"/>
        </w:rPr>
        <w:t xml:space="preserve">o Cons. Substituto Jackson Nobre Veras </w:t>
      </w:r>
      <w:r w:rsidR="00F178DB" w:rsidRPr="00231A4E">
        <w:rPr>
          <w:rFonts w:ascii="ZapfHumnst BT" w:eastAsia="Times New Roman" w:hAnsi="ZapfHumnst BT" w:cs="Arial"/>
          <w:sz w:val="23"/>
          <w:szCs w:val="23"/>
        </w:rPr>
        <w:t>(</w:t>
      </w:r>
      <w:r w:rsidR="00F178DB" w:rsidRPr="00231A4E">
        <w:rPr>
          <w:rFonts w:ascii="ZapfHumnst BT" w:eastAsia="Times New Roman" w:hAnsi="ZapfHumnst BT" w:cs="Arial"/>
          <w:i/>
          <w:iCs/>
          <w:sz w:val="23"/>
          <w:szCs w:val="23"/>
        </w:rPr>
        <w:t>Portaria nº 404/2026</w:t>
      </w:r>
      <w:r w:rsidR="00F178DB" w:rsidRPr="00231A4E">
        <w:rPr>
          <w:rFonts w:ascii="ZapfHumnst BT" w:eastAsia="Times New Roman" w:hAnsi="ZapfHumnst BT" w:cs="Arial"/>
          <w:sz w:val="23"/>
          <w:szCs w:val="23"/>
        </w:rPr>
        <w:t>)</w:t>
      </w:r>
      <w:r w:rsidR="00F178DB" w:rsidRPr="00231A4E">
        <w:rPr>
          <w:rFonts w:ascii="ZapfHumnst BT" w:hAnsi="ZapfHumnst BT" w:cs="Arial"/>
          <w:sz w:val="23"/>
          <w:szCs w:val="23"/>
        </w:rPr>
        <w:t xml:space="preserve">, em substituição à </w:t>
      </w:r>
      <w:r w:rsidR="006125BF" w:rsidRPr="00231A4E">
        <w:rPr>
          <w:rFonts w:ascii="ZapfHumnst BT" w:hAnsi="ZapfHumnst BT" w:cs="Arial"/>
          <w:sz w:val="23"/>
          <w:szCs w:val="23"/>
        </w:rPr>
        <w:t xml:space="preserve">Cons.ª Flora Izabel Nobre Rodrigues; </w:t>
      </w:r>
      <w:r w:rsidR="00A23341" w:rsidRPr="00231A4E">
        <w:rPr>
          <w:rFonts w:ascii="ZapfHumnst BT" w:hAnsi="ZapfHumnst BT" w:cs="Arial"/>
          <w:sz w:val="23"/>
          <w:szCs w:val="23"/>
        </w:rPr>
        <w:t xml:space="preserve">o Cons. Substituto Jaylson Fabianh Lopes Campelo; </w:t>
      </w:r>
      <w:r w:rsidR="006125BF" w:rsidRPr="00231A4E">
        <w:rPr>
          <w:rFonts w:ascii="ZapfHumnst BT" w:hAnsi="ZapfHumnst BT" w:cs="Arial"/>
          <w:sz w:val="23"/>
          <w:szCs w:val="23"/>
        </w:rPr>
        <w:t xml:space="preserve">e </w:t>
      </w:r>
      <w:r w:rsidR="00F178DB" w:rsidRPr="00231A4E">
        <w:rPr>
          <w:rFonts w:ascii="ZapfHumnst BT" w:hAnsi="ZapfHumnst BT" w:cs="Arial"/>
          <w:sz w:val="23"/>
          <w:szCs w:val="23"/>
        </w:rPr>
        <w:t>a</w:t>
      </w:r>
      <w:r w:rsidR="006125BF" w:rsidRPr="00231A4E">
        <w:rPr>
          <w:rFonts w:ascii="ZapfHumnst BT" w:hAnsi="ZapfHumnst BT" w:cs="Arial"/>
          <w:sz w:val="23"/>
          <w:szCs w:val="23"/>
        </w:rPr>
        <w:t xml:space="preserve"> Representante</w:t>
      </w:r>
      <w:r w:rsidR="00FC71BA" w:rsidRPr="00231A4E">
        <w:rPr>
          <w:rFonts w:ascii="ZapfHumnst BT" w:hAnsi="ZapfHumnst BT" w:cs="Arial"/>
          <w:sz w:val="23"/>
          <w:szCs w:val="23"/>
        </w:rPr>
        <w:t>s</w:t>
      </w:r>
      <w:r w:rsidR="006125BF" w:rsidRPr="00231A4E">
        <w:rPr>
          <w:rFonts w:ascii="ZapfHumnst BT" w:hAnsi="ZapfHumnst BT" w:cs="Arial"/>
          <w:sz w:val="23"/>
          <w:szCs w:val="23"/>
        </w:rPr>
        <w:t xml:space="preserve"> do Ministério Público de Contas do Estado do Piauí, </w:t>
      </w:r>
      <w:r w:rsidR="00FC71BA" w:rsidRPr="00231A4E">
        <w:rPr>
          <w:rFonts w:ascii="ZapfHumnst BT" w:hAnsi="ZapfHumnst BT" w:cs="Arial"/>
          <w:sz w:val="23"/>
          <w:szCs w:val="23"/>
        </w:rPr>
        <w:t>Procuradora Raïssa Maria Rezende de Deus Barbosa.</w:t>
      </w:r>
      <w:r w:rsidR="00F178DB" w:rsidRPr="00231A4E">
        <w:rPr>
          <w:rFonts w:ascii="ZapfHumnst BT" w:hAnsi="ZapfHumnst BT" w:cs="Arial"/>
          <w:sz w:val="23"/>
          <w:szCs w:val="23"/>
        </w:rPr>
        <w:t xml:space="preserve"> Ausente a </w:t>
      </w:r>
      <w:r w:rsidR="00F178DB" w:rsidRPr="00231A4E">
        <w:rPr>
          <w:rFonts w:ascii="ZapfHumnst BT" w:eastAsia="Times New Roman" w:hAnsi="ZapfHumnst BT" w:cs="Arial"/>
          <w:sz w:val="23"/>
          <w:szCs w:val="23"/>
        </w:rPr>
        <w:t>Cons.ª Flora Izabel Nobre Rodrigues (</w:t>
      </w:r>
      <w:r w:rsidR="00F178DB" w:rsidRPr="00231A4E">
        <w:rPr>
          <w:rFonts w:ascii="ZapfHumnst BT" w:eastAsia="Times New Roman" w:hAnsi="ZapfHumnst BT" w:cs="Arial"/>
          <w:i/>
          <w:iCs/>
          <w:sz w:val="23"/>
          <w:szCs w:val="23"/>
        </w:rPr>
        <w:t>em gozo de férias – Portaria nº 385/2026-SP/Processo nº 102864/2026</w:t>
      </w:r>
      <w:r w:rsidR="00F178DB" w:rsidRPr="00231A4E">
        <w:rPr>
          <w:rFonts w:ascii="ZapfHumnst BT" w:eastAsia="Times New Roman" w:hAnsi="ZapfHumnst BT" w:cs="Arial"/>
          <w:sz w:val="23"/>
          <w:szCs w:val="23"/>
        </w:rPr>
        <w:t>).</w:t>
      </w:r>
    </w:p>
    <w:p w14:paraId="0FAC3990" w14:textId="77777777" w:rsidR="007143C7" w:rsidRPr="00231A4E" w:rsidRDefault="007143C7" w:rsidP="009B48F4">
      <w:pPr>
        <w:keepNext/>
        <w:jc w:val="both"/>
        <w:rPr>
          <w:rFonts w:ascii="ZapfHumnst BT" w:hAnsi="ZapfHumnst BT" w:cs="Arial"/>
          <w:sz w:val="23"/>
          <w:szCs w:val="23"/>
        </w:rPr>
      </w:pPr>
    </w:p>
    <w:p w14:paraId="5D290601" w14:textId="331ABBED" w:rsidR="007143C7" w:rsidRPr="00231A4E" w:rsidRDefault="00B66E68" w:rsidP="009B48F4">
      <w:pPr>
        <w:keepNext/>
        <w:jc w:val="both"/>
        <w:rPr>
          <w:rFonts w:ascii="ZapfHumnst BT" w:hAnsi="ZapfHumnst BT" w:cs="Arial"/>
          <w:sz w:val="23"/>
          <w:szCs w:val="23"/>
        </w:rPr>
      </w:pPr>
      <w:r w:rsidRPr="00231A4E">
        <w:rPr>
          <w:rFonts w:ascii="ZapfHumnst BT" w:hAnsi="ZapfHumnst BT" w:cs="Arial"/>
          <w:sz w:val="23"/>
          <w:szCs w:val="23"/>
        </w:rPr>
        <w:t>ATA. Lida, foi aprovada a ata da sessão anterior.</w:t>
      </w:r>
      <w:r w:rsidR="00045DA8" w:rsidRPr="00231A4E">
        <w:rPr>
          <w:rFonts w:ascii="ZapfHumnst BT" w:hAnsi="ZapfHumnst BT" w:cs="Arial"/>
          <w:sz w:val="23"/>
          <w:szCs w:val="23"/>
        </w:rPr>
        <w:t xml:space="preserve"> </w:t>
      </w:r>
    </w:p>
    <w:p w14:paraId="09D83327" w14:textId="77777777" w:rsidR="007143C7" w:rsidRDefault="007143C7" w:rsidP="009B48F4">
      <w:pPr>
        <w:keepNext/>
        <w:jc w:val="both"/>
        <w:rPr>
          <w:rFonts w:ascii="ZapfHumnst BT" w:hAnsi="ZapfHumnst BT" w:cs="Arial"/>
          <w:b/>
          <w:sz w:val="23"/>
          <w:szCs w:val="23"/>
        </w:rPr>
      </w:pPr>
    </w:p>
    <w:p w14:paraId="5FEBCC57" w14:textId="77777777" w:rsidR="00A9084B" w:rsidRDefault="00A9084B" w:rsidP="009B48F4">
      <w:pPr>
        <w:keepNext/>
        <w:jc w:val="both"/>
        <w:rPr>
          <w:rFonts w:ascii="ZapfHumnst BT" w:hAnsi="ZapfHumnst BT" w:cs="Arial"/>
          <w:b/>
          <w:sz w:val="23"/>
          <w:szCs w:val="23"/>
        </w:rPr>
      </w:pPr>
    </w:p>
    <w:p w14:paraId="740B1C37" w14:textId="77777777" w:rsidR="00A9084B" w:rsidRPr="00231A4E" w:rsidRDefault="00A9084B" w:rsidP="009B48F4">
      <w:pPr>
        <w:keepNext/>
        <w:jc w:val="both"/>
        <w:rPr>
          <w:rFonts w:ascii="ZapfHumnst BT" w:hAnsi="ZapfHumnst BT" w:cs="Arial"/>
          <w:b/>
          <w:sz w:val="23"/>
          <w:szCs w:val="23"/>
        </w:rPr>
      </w:pPr>
    </w:p>
    <w:p w14:paraId="462F0A07" w14:textId="55AE04C6" w:rsidR="007143C7" w:rsidRPr="00231A4E" w:rsidRDefault="007143C7" w:rsidP="009B48F4">
      <w:pPr>
        <w:keepNext/>
        <w:jc w:val="center"/>
        <w:rPr>
          <w:rFonts w:ascii="ZapfHumnst BT" w:hAnsi="ZapfHumnst BT" w:cs="Arial"/>
          <w:b/>
          <w:caps/>
          <w:sz w:val="23"/>
          <w:szCs w:val="23"/>
        </w:rPr>
      </w:pPr>
      <w:r w:rsidRPr="00231A4E">
        <w:rPr>
          <w:rFonts w:ascii="ZapfHumnst BT" w:hAnsi="ZapfHumnst BT" w:cs="Arial"/>
          <w:b/>
          <w:caps/>
          <w:sz w:val="23"/>
          <w:szCs w:val="23"/>
        </w:rPr>
        <w:t xml:space="preserve">PROCESSOS </w:t>
      </w:r>
      <w:r w:rsidR="00563C83" w:rsidRPr="00231A4E">
        <w:rPr>
          <w:rFonts w:ascii="ZapfHumnst BT" w:hAnsi="ZapfHumnst BT" w:cs="Arial"/>
          <w:b/>
          <w:caps/>
          <w:sz w:val="23"/>
          <w:szCs w:val="23"/>
        </w:rPr>
        <w:t xml:space="preserve">APRECIADOS E </w:t>
      </w:r>
      <w:r w:rsidRPr="00231A4E">
        <w:rPr>
          <w:rFonts w:ascii="ZapfHumnst BT" w:hAnsi="ZapfHumnst BT" w:cs="Arial"/>
          <w:b/>
          <w:caps/>
          <w:sz w:val="23"/>
          <w:szCs w:val="23"/>
        </w:rPr>
        <w:t>JULGADOS</w:t>
      </w:r>
    </w:p>
    <w:p w14:paraId="1E119A8D" w14:textId="77777777" w:rsidR="009A5C33" w:rsidRPr="00231A4E" w:rsidRDefault="009A5C33" w:rsidP="009B48F4">
      <w:pPr>
        <w:keepNext/>
        <w:jc w:val="center"/>
        <w:rPr>
          <w:rFonts w:ascii="ZapfHumnst BT" w:hAnsi="ZapfHumnst BT" w:cs="Arial"/>
          <w:bCs/>
          <w:caps/>
          <w:sz w:val="23"/>
          <w:szCs w:val="23"/>
        </w:rPr>
      </w:pPr>
    </w:p>
    <w:p w14:paraId="7D70470E" w14:textId="77777777" w:rsidR="009A5C33" w:rsidRPr="00231A4E" w:rsidRDefault="009A5C33" w:rsidP="009B48F4">
      <w:pPr>
        <w:keepNext/>
        <w:jc w:val="center"/>
        <w:rPr>
          <w:rFonts w:ascii="ZapfHumnst BT" w:hAnsi="ZapfHumnst BT" w:cs="Arial"/>
          <w:bCs/>
          <w:caps/>
          <w:sz w:val="23"/>
          <w:szCs w:val="23"/>
        </w:rPr>
      </w:pPr>
    </w:p>
    <w:p w14:paraId="4B385258" w14:textId="106428CD" w:rsidR="00A977C3" w:rsidRPr="00231A4E" w:rsidRDefault="003345CA" w:rsidP="009B48F4">
      <w:pPr>
        <w:jc w:val="both"/>
        <w:rPr>
          <w:rFonts w:ascii="ZapfHumnst BT" w:hAnsi="ZapfHumnst BT" w:cs="Arial"/>
          <w:b/>
          <w:sz w:val="23"/>
          <w:szCs w:val="23"/>
        </w:rPr>
      </w:pPr>
      <w:r w:rsidRPr="00231A4E">
        <w:rPr>
          <w:rFonts w:ascii="ZapfHumnst BT" w:hAnsi="ZapfHumnst BT" w:cs="Arial"/>
          <w:b/>
          <w:sz w:val="23"/>
          <w:szCs w:val="23"/>
        </w:rPr>
        <w:t>RELATADOS PELA CONS.ª REJANE RIBEIRO SOUSA DIAS</w:t>
      </w:r>
    </w:p>
    <w:p w14:paraId="384B4355" w14:textId="77777777" w:rsidR="001A1EF0" w:rsidRPr="00231A4E" w:rsidRDefault="001A1EF0" w:rsidP="009B48F4">
      <w:pPr>
        <w:jc w:val="both"/>
        <w:rPr>
          <w:rFonts w:ascii="ZapfHumnst BT" w:hAnsi="ZapfHumnst BT" w:cs="Arial"/>
          <w:b/>
          <w:sz w:val="23"/>
          <w:szCs w:val="23"/>
        </w:rPr>
      </w:pPr>
    </w:p>
    <w:p w14:paraId="3A62DB70" w14:textId="523B4ABB" w:rsidR="001A1EF0" w:rsidRPr="00231A4E" w:rsidRDefault="001A1EF0" w:rsidP="001A1EF0">
      <w:pPr>
        <w:spacing w:line="300" w:lineRule="exact"/>
        <w:jc w:val="both"/>
        <w:rPr>
          <w:rFonts w:ascii="ZapfHumnst BT" w:hAnsi="ZapfHumnst BT"/>
          <w:sz w:val="23"/>
          <w:szCs w:val="23"/>
        </w:rPr>
      </w:pPr>
      <w:r w:rsidRPr="00231A4E">
        <w:rPr>
          <w:rFonts w:ascii="ZapfHumnst BT" w:hAnsi="ZapfHumnst BT" w:cs="Arial"/>
          <w:sz w:val="23"/>
          <w:szCs w:val="23"/>
        </w:rPr>
        <w:t xml:space="preserve">EXTRATO DE JULGAMENTO PARCIAL </w:t>
      </w:r>
      <w:r w:rsidRPr="00231A4E">
        <w:rPr>
          <w:rFonts w:ascii="ZapfHumnst BT" w:hAnsi="ZapfHumnst BT"/>
          <w:sz w:val="23"/>
          <w:szCs w:val="23"/>
        </w:rPr>
        <w:t>Nº 161/2025.</w:t>
      </w:r>
      <w:r w:rsidRPr="00231A4E">
        <w:rPr>
          <w:rFonts w:ascii="ZapfHumnst BT" w:hAnsi="ZapfHumnst BT"/>
          <w:b/>
          <w:bCs/>
          <w:sz w:val="23"/>
          <w:szCs w:val="23"/>
        </w:rPr>
        <w:t xml:space="preserve"> TC/006278/2025 – TOMADA DE CONTAS ESPECIAL DA PREFEITURA MUNICIPAL DE MIGUEL ALVES-PI (EXERCÍCIOS FINANCEIROS DE 2021, 2022 e 2023).</w:t>
      </w:r>
      <w:r w:rsidRPr="00231A4E">
        <w:rPr>
          <w:rFonts w:ascii="ZapfHumnst BT" w:hAnsi="ZapfHumnst BT"/>
          <w:sz w:val="23"/>
          <w:szCs w:val="23"/>
        </w:rPr>
        <w:t xml:space="preserve"> </w:t>
      </w:r>
      <w:bookmarkStart w:id="0" w:name="_Hlk183761509"/>
      <w:r w:rsidRPr="00231A4E">
        <w:rPr>
          <w:rFonts w:ascii="ZapfHumnst BT" w:hAnsi="ZapfHumnst BT"/>
          <w:sz w:val="23"/>
          <w:szCs w:val="23"/>
        </w:rPr>
        <w:t xml:space="preserve">Objeto: apuração de possível dano ao erário. </w:t>
      </w:r>
      <w:proofErr w:type="gramStart"/>
      <w:r w:rsidRPr="00231A4E">
        <w:rPr>
          <w:rFonts w:ascii="ZapfHumnst BT" w:hAnsi="ZapfHumnst BT"/>
          <w:sz w:val="23"/>
          <w:szCs w:val="23"/>
        </w:rPr>
        <w:t>Responsável(</w:t>
      </w:r>
      <w:proofErr w:type="spellStart"/>
      <w:proofErr w:type="gramEnd"/>
      <w:r w:rsidRPr="00231A4E">
        <w:rPr>
          <w:rFonts w:ascii="ZapfHumnst BT" w:hAnsi="ZapfHumnst BT"/>
          <w:sz w:val="23"/>
          <w:szCs w:val="23"/>
        </w:rPr>
        <w:t>is</w:t>
      </w:r>
      <w:proofErr w:type="spellEnd"/>
      <w:r w:rsidRPr="00231A4E">
        <w:rPr>
          <w:rFonts w:ascii="ZapfHumnst BT" w:hAnsi="ZapfHumnst BT"/>
          <w:sz w:val="23"/>
          <w:szCs w:val="23"/>
        </w:rPr>
        <w:t xml:space="preserve">): Francisco Antônio Rebelo de Paiva </w:t>
      </w:r>
      <w:r w:rsidRPr="00231A4E">
        <w:rPr>
          <w:rFonts w:ascii="ZapfHumnst BT" w:hAnsi="ZapfHumnst BT"/>
          <w:b/>
          <w:bCs/>
          <w:sz w:val="23"/>
          <w:szCs w:val="23"/>
        </w:rPr>
        <w:t>–</w:t>
      </w:r>
      <w:r w:rsidRPr="00231A4E">
        <w:rPr>
          <w:rFonts w:ascii="ZapfHumnst BT" w:hAnsi="ZapfHumnst BT"/>
          <w:sz w:val="23"/>
          <w:szCs w:val="23"/>
        </w:rPr>
        <w:t xml:space="preserve"> Prefeito Municipal; Gilmar Sousa Rebelo </w:t>
      </w:r>
      <w:r w:rsidRPr="00231A4E">
        <w:rPr>
          <w:rFonts w:ascii="ZapfHumnst BT" w:hAnsi="ZapfHumnst BT"/>
          <w:b/>
          <w:bCs/>
          <w:sz w:val="23"/>
          <w:szCs w:val="23"/>
        </w:rPr>
        <w:t>–</w:t>
      </w:r>
      <w:r w:rsidRPr="00231A4E">
        <w:rPr>
          <w:rFonts w:ascii="ZapfHumnst BT" w:hAnsi="ZapfHumnst BT"/>
          <w:sz w:val="23"/>
          <w:szCs w:val="23"/>
        </w:rPr>
        <w:t xml:space="preserve"> Secretário Municipal de Administração; Rafael Lira de Sousa </w:t>
      </w:r>
      <w:r w:rsidRPr="00231A4E">
        <w:rPr>
          <w:rFonts w:ascii="ZapfHumnst BT" w:hAnsi="ZapfHumnst BT"/>
          <w:b/>
          <w:bCs/>
          <w:sz w:val="23"/>
          <w:szCs w:val="23"/>
        </w:rPr>
        <w:t>–</w:t>
      </w:r>
      <w:r w:rsidRPr="00231A4E">
        <w:rPr>
          <w:rFonts w:ascii="ZapfHumnst BT" w:hAnsi="ZapfHumnst BT"/>
          <w:sz w:val="23"/>
          <w:szCs w:val="23"/>
        </w:rPr>
        <w:t xml:space="preserve"> Pregoeiro; </w:t>
      </w:r>
      <w:proofErr w:type="spellStart"/>
      <w:r w:rsidRPr="00231A4E">
        <w:rPr>
          <w:rFonts w:ascii="ZapfHumnst BT" w:hAnsi="ZapfHumnst BT"/>
          <w:sz w:val="23"/>
          <w:szCs w:val="23"/>
        </w:rPr>
        <w:t>Odivan</w:t>
      </w:r>
      <w:proofErr w:type="spellEnd"/>
      <w:r w:rsidRPr="00231A4E">
        <w:rPr>
          <w:rFonts w:ascii="ZapfHumnst BT" w:hAnsi="ZapfHumnst BT"/>
          <w:sz w:val="23"/>
          <w:szCs w:val="23"/>
        </w:rPr>
        <w:t xml:space="preserve"> Fortes Torres e Marcela Maria Araújo Magalhães Torres </w:t>
      </w:r>
      <w:r w:rsidRPr="00231A4E">
        <w:rPr>
          <w:rFonts w:ascii="ZapfHumnst BT" w:hAnsi="ZapfHumnst BT"/>
          <w:b/>
          <w:bCs/>
          <w:sz w:val="23"/>
          <w:szCs w:val="23"/>
        </w:rPr>
        <w:t>–</w:t>
      </w:r>
      <w:r w:rsidRPr="00231A4E">
        <w:rPr>
          <w:rFonts w:ascii="ZapfHumnst BT" w:hAnsi="ZapfHumnst BT"/>
          <w:sz w:val="23"/>
          <w:szCs w:val="23"/>
        </w:rPr>
        <w:t xml:space="preserve"> apontados como proprietários de fato da empresa contratada; empresa FRIO FORTE COMÉRCIO E SERVIÇOS DE REFRIGERAÇÃO LTDA.; e Alexandra Silva Araújo – sócia-administradora da empresa. Advogado(s): </w:t>
      </w:r>
      <w:proofErr w:type="spellStart"/>
      <w:r w:rsidRPr="00231A4E">
        <w:rPr>
          <w:rFonts w:ascii="ZapfHumnst BT" w:hAnsi="ZapfHumnst BT"/>
          <w:sz w:val="23"/>
          <w:szCs w:val="23"/>
        </w:rPr>
        <w:t>Hillana</w:t>
      </w:r>
      <w:proofErr w:type="spellEnd"/>
      <w:r w:rsidRPr="00231A4E">
        <w:rPr>
          <w:rFonts w:ascii="ZapfHumnst BT" w:hAnsi="ZapfHumnst BT"/>
          <w:sz w:val="23"/>
          <w:szCs w:val="23"/>
        </w:rPr>
        <w:t xml:space="preserve"> Martina Lopes Mousinho Neiva Dourado (OAB/PI nº 6.544) – (Procuração: Francisco Antônio Rebelo de Paiva/Prefeito Municipal – fl. 1 da peça 26.2 e fl. 1 da peça 72.2; e Gilmar Sousa Rebelo/Secretário Municipal de Administração – fl. 1 da peça 73.2); </w:t>
      </w:r>
      <w:proofErr w:type="spellStart"/>
      <w:r w:rsidRPr="00231A4E">
        <w:rPr>
          <w:rFonts w:ascii="ZapfHumnst BT" w:hAnsi="ZapfHumnst BT"/>
          <w:sz w:val="23"/>
          <w:szCs w:val="23"/>
        </w:rPr>
        <w:t>Tássia</w:t>
      </w:r>
      <w:proofErr w:type="spellEnd"/>
      <w:r w:rsidRPr="00231A4E">
        <w:rPr>
          <w:rFonts w:ascii="ZapfHumnst BT" w:hAnsi="ZapfHumnst BT"/>
          <w:sz w:val="23"/>
          <w:szCs w:val="23"/>
        </w:rPr>
        <w:t xml:space="preserve"> Rafaela Magalhães Torres (OAB/PI nº 17.691) – (Procuração: </w:t>
      </w:r>
      <w:proofErr w:type="spellStart"/>
      <w:r w:rsidRPr="00231A4E">
        <w:rPr>
          <w:rFonts w:ascii="ZapfHumnst BT" w:hAnsi="ZapfHumnst BT"/>
          <w:sz w:val="23"/>
          <w:szCs w:val="23"/>
        </w:rPr>
        <w:t>Odivan</w:t>
      </w:r>
      <w:proofErr w:type="spellEnd"/>
      <w:r w:rsidRPr="00231A4E">
        <w:rPr>
          <w:rFonts w:ascii="ZapfHumnst BT" w:hAnsi="ZapfHumnst BT"/>
          <w:sz w:val="23"/>
          <w:szCs w:val="23"/>
        </w:rPr>
        <w:t xml:space="preserve"> Fortes Torres – fl. 1 da peça 74.2; e Marcela Maria Araújo Magalhães Torres – fl. 1 da peça 75.2); e Sérgio Gonçalves do Rego Motta Filho (OAB/PI nº 14.658) – (Procuração: </w:t>
      </w:r>
      <w:proofErr w:type="gramStart"/>
      <w:r w:rsidRPr="00231A4E">
        <w:rPr>
          <w:rFonts w:ascii="ZapfHumnst BT" w:hAnsi="ZapfHumnst BT"/>
          <w:sz w:val="23"/>
          <w:szCs w:val="23"/>
        </w:rPr>
        <w:t>empresa FRIO FORTE</w:t>
      </w:r>
      <w:proofErr w:type="gramEnd"/>
      <w:r w:rsidRPr="00231A4E">
        <w:rPr>
          <w:rFonts w:ascii="ZapfHumnst BT" w:hAnsi="ZapfHumnst BT"/>
          <w:sz w:val="23"/>
          <w:szCs w:val="23"/>
        </w:rPr>
        <w:t xml:space="preserve"> COMÉRCIO E SERVIÇOS DE REFRIGERAÇÃO LTDA. – fl. 1 da peça 80.2; e Alexandra Silva Araújo – fl. 1 da peça 81.2). </w:t>
      </w:r>
      <w:bookmarkEnd w:id="0"/>
      <w:r w:rsidRPr="00231A4E">
        <w:rPr>
          <w:rFonts w:ascii="ZapfHumnst BT" w:hAnsi="ZapfHumnst BT"/>
          <w:sz w:val="23"/>
          <w:szCs w:val="23"/>
        </w:rPr>
        <w:t xml:space="preserve">Decidiu a Primeira Câmara, unânime, ouvida a Representante do Ministério Público de Contas e em consonância com a manifestação da Relatora </w:t>
      </w:r>
      <w:r w:rsidRPr="00231A4E">
        <w:rPr>
          <w:rFonts w:ascii="ZapfHumnst BT" w:hAnsi="ZapfHumnst BT" w:cs="Arial"/>
          <w:sz w:val="23"/>
          <w:szCs w:val="23"/>
        </w:rPr>
        <w:t>Cons.ª Rejane Ribeiro Sousa Dias (peça 97.2),</w:t>
      </w:r>
      <w:r w:rsidRPr="00231A4E">
        <w:rPr>
          <w:rFonts w:ascii="ZapfHumnst BT" w:hAnsi="ZapfHumnst BT"/>
          <w:b/>
          <w:bCs/>
          <w:sz w:val="23"/>
          <w:szCs w:val="23"/>
        </w:rPr>
        <w:t xml:space="preserve"> retirar de pauta</w:t>
      </w:r>
      <w:r w:rsidRPr="00231A4E">
        <w:rPr>
          <w:rFonts w:ascii="ZapfHumnst BT" w:hAnsi="ZapfHumnst BT"/>
          <w:sz w:val="23"/>
          <w:szCs w:val="23"/>
        </w:rPr>
        <w:t xml:space="preserve"> o presente processo pelo </w:t>
      </w:r>
      <w:r w:rsidRPr="00231A4E">
        <w:rPr>
          <w:rFonts w:ascii="ZapfHumnst BT" w:hAnsi="ZapfHumnst BT"/>
          <w:b/>
          <w:bCs/>
          <w:sz w:val="23"/>
          <w:szCs w:val="23"/>
        </w:rPr>
        <w:t xml:space="preserve">prazo de </w:t>
      </w:r>
      <w:proofErr w:type="gramStart"/>
      <w:r w:rsidRPr="00231A4E">
        <w:rPr>
          <w:rFonts w:ascii="ZapfHumnst BT" w:hAnsi="ZapfHumnst BT"/>
          <w:b/>
          <w:bCs/>
          <w:sz w:val="23"/>
          <w:szCs w:val="23"/>
        </w:rPr>
        <w:t>1</w:t>
      </w:r>
      <w:proofErr w:type="gramEnd"/>
      <w:r w:rsidRPr="00231A4E">
        <w:rPr>
          <w:rFonts w:ascii="ZapfHumnst BT" w:hAnsi="ZapfHumnst BT"/>
          <w:b/>
          <w:bCs/>
          <w:sz w:val="23"/>
          <w:szCs w:val="23"/>
        </w:rPr>
        <w:t xml:space="preserve"> (uma) sessão de julgamento</w:t>
      </w:r>
      <w:r w:rsidRPr="00231A4E">
        <w:rPr>
          <w:rFonts w:ascii="ZapfHumnst BT" w:hAnsi="ZapfHumnst BT"/>
          <w:sz w:val="23"/>
          <w:szCs w:val="23"/>
        </w:rPr>
        <w:t xml:space="preserve">, conforme requerimento da advogada </w:t>
      </w:r>
      <w:proofErr w:type="spellStart"/>
      <w:r w:rsidRPr="00231A4E">
        <w:rPr>
          <w:rFonts w:ascii="ZapfHumnst BT" w:hAnsi="ZapfHumnst BT"/>
          <w:sz w:val="23"/>
          <w:szCs w:val="23"/>
        </w:rPr>
        <w:t>Hillana</w:t>
      </w:r>
      <w:proofErr w:type="spellEnd"/>
      <w:r w:rsidRPr="00231A4E">
        <w:rPr>
          <w:rFonts w:ascii="ZapfHumnst BT" w:hAnsi="ZapfHumnst BT"/>
          <w:sz w:val="23"/>
          <w:szCs w:val="23"/>
        </w:rPr>
        <w:t xml:space="preserve"> Martina Lopes Mousinho Neiva Dourado (OAB/PI nº 6.544), protocolado sob o número 009453/2026 (peça 97.1). Assim, o referido processo </w:t>
      </w:r>
      <w:r w:rsidRPr="00231A4E">
        <w:rPr>
          <w:rFonts w:ascii="ZapfHumnst BT" w:hAnsi="ZapfHumnst BT"/>
          <w:b/>
          <w:bCs/>
          <w:sz w:val="23"/>
          <w:szCs w:val="23"/>
        </w:rPr>
        <w:t>retornará à Pauta de Julgamento da Primeira Câmara do dia 4/8/2026</w:t>
      </w:r>
      <w:r w:rsidRPr="00231A4E">
        <w:rPr>
          <w:rFonts w:ascii="ZapfHumnst BT" w:hAnsi="ZapfHumnst BT"/>
          <w:sz w:val="23"/>
          <w:szCs w:val="23"/>
        </w:rPr>
        <w:t>.</w:t>
      </w:r>
    </w:p>
    <w:p w14:paraId="47AEBB54" w14:textId="77777777" w:rsidR="001A1EF0" w:rsidRPr="00231A4E" w:rsidRDefault="001A1EF0" w:rsidP="001A1EF0">
      <w:pPr>
        <w:spacing w:line="300" w:lineRule="exact"/>
        <w:jc w:val="both"/>
        <w:rPr>
          <w:rFonts w:ascii="ZapfHumnst BT" w:hAnsi="ZapfHumnst BT"/>
          <w:sz w:val="23"/>
          <w:szCs w:val="23"/>
        </w:rPr>
      </w:pPr>
    </w:p>
    <w:p w14:paraId="155565BA" w14:textId="39562A4F" w:rsidR="001A1EF0" w:rsidRPr="00231A4E" w:rsidRDefault="001A1EF0" w:rsidP="001A1EF0">
      <w:pPr>
        <w:autoSpaceDE w:val="0"/>
        <w:autoSpaceDN w:val="0"/>
        <w:adjustRightInd w:val="0"/>
        <w:spacing w:line="300" w:lineRule="exact"/>
        <w:jc w:val="both"/>
        <w:rPr>
          <w:rFonts w:ascii="ZapfHumnst BT" w:hAnsi="ZapfHumnst BT"/>
          <w:sz w:val="23"/>
          <w:szCs w:val="23"/>
        </w:rPr>
      </w:pPr>
      <w:r w:rsidRPr="00231A4E">
        <w:rPr>
          <w:rFonts w:ascii="ZapfHumnst BT" w:hAnsi="ZapfHumnst BT" w:cs="Arial"/>
          <w:sz w:val="23"/>
          <w:szCs w:val="23"/>
        </w:rPr>
        <w:lastRenderedPageBreak/>
        <w:t>EXTRATO DE JULGAMENTO PARCIAL Nº 162/2026.</w:t>
      </w:r>
      <w:r w:rsidRPr="00231A4E">
        <w:rPr>
          <w:rFonts w:ascii="ZapfHumnst BT" w:hAnsi="ZapfHumnst BT" w:cs="Arial"/>
          <w:b/>
          <w:sz w:val="23"/>
          <w:szCs w:val="23"/>
        </w:rPr>
        <w:t xml:space="preserve"> </w:t>
      </w:r>
      <w:r w:rsidRPr="00231A4E">
        <w:rPr>
          <w:rFonts w:ascii="ZapfHumnst BT" w:hAnsi="ZapfHumnst BT" w:cs="Arial"/>
          <w:b/>
          <w:noProof/>
          <w:sz w:val="23"/>
          <w:szCs w:val="23"/>
        </w:rPr>
        <w:t>TC/005384/2025 – PRESTAÇÃO DE CONTAS DE GOVERNO DA PREFEITURA MUNICIPAL DE CORRENTE-PI (EXERCÍCIO FINANCEIRO DE 2024)</w:t>
      </w:r>
      <w:r w:rsidRPr="00231A4E">
        <w:rPr>
          <w:rFonts w:ascii="ZapfHumnst BT" w:hAnsi="ZapfHumnst BT" w:cs="Arial"/>
          <w:sz w:val="23"/>
          <w:szCs w:val="23"/>
        </w:rPr>
        <w:t xml:space="preserve">. </w:t>
      </w:r>
      <w:proofErr w:type="gramStart"/>
      <w:r w:rsidRPr="00231A4E">
        <w:rPr>
          <w:rFonts w:ascii="ZapfHumnst BT" w:hAnsi="ZapfHumnst BT" w:cs="Arial"/>
          <w:sz w:val="23"/>
          <w:szCs w:val="23"/>
        </w:rPr>
        <w:t>Responsável(</w:t>
      </w:r>
      <w:proofErr w:type="spellStart"/>
      <w:proofErr w:type="gramEnd"/>
      <w:r w:rsidRPr="00231A4E">
        <w:rPr>
          <w:rFonts w:ascii="ZapfHumnst BT" w:hAnsi="ZapfHumnst BT" w:cs="Arial"/>
          <w:sz w:val="23"/>
          <w:szCs w:val="23"/>
        </w:rPr>
        <w:t>is</w:t>
      </w:r>
      <w:proofErr w:type="spellEnd"/>
      <w:r w:rsidRPr="00231A4E">
        <w:rPr>
          <w:rFonts w:ascii="ZapfHumnst BT" w:hAnsi="ZapfHumnst BT" w:cs="Arial"/>
          <w:sz w:val="23"/>
          <w:szCs w:val="23"/>
        </w:rPr>
        <w:t>):</w:t>
      </w:r>
      <w:r w:rsidRPr="00231A4E">
        <w:rPr>
          <w:rFonts w:ascii="ZapfHumnst BT" w:hAnsi="ZapfHumnst BT" w:cs="Arial"/>
          <w:sz w:val="23"/>
          <w:szCs w:val="23"/>
          <w:lang w:val="pt-PT"/>
        </w:rPr>
        <w:t xml:space="preserve"> Gladson Murilo Mascarenhas Ribeiro</w:t>
      </w:r>
      <w:r w:rsidRPr="00231A4E">
        <w:rPr>
          <w:rFonts w:ascii="ZapfHumnst BT" w:hAnsi="ZapfHumnst BT" w:cs="Arial"/>
          <w:sz w:val="23"/>
          <w:szCs w:val="23"/>
        </w:rPr>
        <w:t xml:space="preserve"> – Prefeito Municipal</w:t>
      </w:r>
      <w:r w:rsidRPr="00231A4E">
        <w:rPr>
          <w:rFonts w:ascii="ZapfHumnst BT" w:hAnsi="ZapfHumnst BT" w:cs="Arial"/>
          <w:bCs/>
          <w:sz w:val="23"/>
          <w:szCs w:val="23"/>
        </w:rPr>
        <w:t>. Advogado(s): Márcio Pereira da Silva Rocha (OAB/PI nº 11.687) – (Procuração: fl. 1 da peça 10.2)</w:t>
      </w:r>
      <w:r w:rsidRPr="00231A4E">
        <w:rPr>
          <w:rFonts w:ascii="ZapfHumnst BT" w:hAnsi="ZapfHumnst BT" w:cs="Helvetica"/>
          <w:sz w:val="23"/>
          <w:szCs w:val="23"/>
        </w:rPr>
        <w:t xml:space="preserve">. </w:t>
      </w:r>
      <w:r w:rsidRPr="00231A4E">
        <w:rPr>
          <w:rFonts w:ascii="ZapfHumnst BT" w:hAnsi="ZapfHumnst BT"/>
          <w:sz w:val="23"/>
          <w:szCs w:val="23"/>
        </w:rPr>
        <w:t xml:space="preserve">Decidiu a Primeira Câmara, unânime, ouvida a Representante do Ministério Público de Contas e em consonância com a manifestação da Relatora </w:t>
      </w:r>
      <w:r w:rsidRPr="00231A4E">
        <w:rPr>
          <w:rFonts w:ascii="ZapfHumnst BT" w:hAnsi="ZapfHumnst BT" w:cs="Arial"/>
          <w:sz w:val="23"/>
          <w:szCs w:val="23"/>
        </w:rPr>
        <w:t>Cons.ª Rejane Ribeiro Sousa Dias (peça 21.2),</w:t>
      </w:r>
      <w:r w:rsidRPr="00231A4E">
        <w:rPr>
          <w:rFonts w:ascii="ZapfHumnst BT" w:hAnsi="ZapfHumnst BT"/>
          <w:b/>
          <w:bCs/>
          <w:sz w:val="23"/>
          <w:szCs w:val="23"/>
        </w:rPr>
        <w:t xml:space="preserve"> retirar de pauta</w:t>
      </w:r>
      <w:r w:rsidRPr="00231A4E">
        <w:rPr>
          <w:rFonts w:ascii="ZapfHumnst BT" w:hAnsi="ZapfHumnst BT"/>
          <w:sz w:val="23"/>
          <w:szCs w:val="23"/>
        </w:rPr>
        <w:t xml:space="preserve"> o presente processo pelo </w:t>
      </w:r>
      <w:r w:rsidRPr="00231A4E">
        <w:rPr>
          <w:rFonts w:ascii="ZapfHumnst BT" w:hAnsi="ZapfHumnst BT"/>
          <w:b/>
          <w:bCs/>
          <w:sz w:val="23"/>
          <w:szCs w:val="23"/>
        </w:rPr>
        <w:t xml:space="preserve">prazo de </w:t>
      </w:r>
      <w:proofErr w:type="gramStart"/>
      <w:r w:rsidRPr="00231A4E">
        <w:rPr>
          <w:rFonts w:ascii="ZapfHumnst BT" w:hAnsi="ZapfHumnst BT"/>
          <w:b/>
          <w:bCs/>
          <w:sz w:val="23"/>
          <w:szCs w:val="23"/>
        </w:rPr>
        <w:t>1</w:t>
      </w:r>
      <w:proofErr w:type="gramEnd"/>
      <w:r w:rsidRPr="00231A4E">
        <w:rPr>
          <w:rFonts w:ascii="ZapfHumnst BT" w:hAnsi="ZapfHumnst BT"/>
          <w:b/>
          <w:bCs/>
          <w:sz w:val="23"/>
          <w:szCs w:val="23"/>
        </w:rPr>
        <w:t xml:space="preserve"> (uma) sessão de julgamento</w:t>
      </w:r>
      <w:r w:rsidRPr="00231A4E">
        <w:rPr>
          <w:rFonts w:ascii="ZapfHumnst BT" w:hAnsi="ZapfHumnst BT"/>
          <w:sz w:val="23"/>
          <w:szCs w:val="23"/>
        </w:rPr>
        <w:t xml:space="preserve">, conforme requerimento do advogado </w:t>
      </w:r>
      <w:r w:rsidRPr="00231A4E">
        <w:rPr>
          <w:rFonts w:ascii="ZapfHumnst BT" w:hAnsi="ZapfHumnst BT" w:cs="Arial"/>
          <w:bCs/>
          <w:sz w:val="23"/>
          <w:szCs w:val="23"/>
        </w:rPr>
        <w:t>Márcio Pereira da Silva Rocha (OAB/PI nº 11.687)</w:t>
      </w:r>
      <w:r w:rsidRPr="00231A4E">
        <w:rPr>
          <w:rFonts w:ascii="ZapfHumnst BT" w:hAnsi="ZapfHumnst BT"/>
          <w:sz w:val="23"/>
          <w:szCs w:val="23"/>
        </w:rPr>
        <w:t xml:space="preserve">, protocolado sob o número 009448/2026 (peça 21.1). Assim, o referido processo </w:t>
      </w:r>
      <w:r w:rsidRPr="00231A4E">
        <w:rPr>
          <w:rFonts w:ascii="ZapfHumnst BT" w:hAnsi="ZapfHumnst BT"/>
          <w:b/>
          <w:bCs/>
          <w:sz w:val="23"/>
          <w:szCs w:val="23"/>
        </w:rPr>
        <w:t>retornará à Pauta de Julgamento da Primeira Câmara do dia 4/8/2026</w:t>
      </w:r>
      <w:r w:rsidRPr="00231A4E">
        <w:rPr>
          <w:rFonts w:ascii="ZapfHumnst BT" w:hAnsi="ZapfHumnst BT"/>
          <w:sz w:val="23"/>
          <w:szCs w:val="23"/>
        </w:rPr>
        <w:t>.</w:t>
      </w:r>
    </w:p>
    <w:p w14:paraId="39A1F4B6" w14:textId="77777777" w:rsidR="001A1EF0" w:rsidRPr="00231A4E" w:rsidRDefault="001A1EF0" w:rsidP="001A1EF0">
      <w:pPr>
        <w:autoSpaceDE w:val="0"/>
        <w:autoSpaceDN w:val="0"/>
        <w:adjustRightInd w:val="0"/>
        <w:spacing w:line="300" w:lineRule="exact"/>
        <w:jc w:val="both"/>
        <w:rPr>
          <w:rFonts w:ascii="ZapfHumnst BT" w:hAnsi="ZapfHumnst BT"/>
          <w:sz w:val="23"/>
          <w:szCs w:val="23"/>
        </w:rPr>
      </w:pPr>
    </w:p>
    <w:p w14:paraId="2EA4239E" w14:textId="77777777" w:rsidR="00EF35DA" w:rsidRPr="00231A4E" w:rsidRDefault="00EF35DA" w:rsidP="00EF35DA">
      <w:pPr>
        <w:spacing w:line="30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</w:p>
    <w:p w14:paraId="69F734CB" w14:textId="7A434F05" w:rsidR="00EF35DA" w:rsidRPr="00231A4E" w:rsidRDefault="00EF35DA" w:rsidP="00EF35DA">
      <w:pPr>
        <w:spacing w:line="300" w:lineRule="exact"/>
        <w:jc w:val="both"/>
        <w:rPr>
          <w:rFonts w:ascii="ZapfHumnst BT" w:hAnsi="ZapfHumnst BT" w:cs="Arial"/>
          <w:b/>
          <w:i/>
          <w:iCs/>
          <w:sz w:val="23"/>
          <w:szCs w:val="23"/>
        </w:rPr>
      </w:pPr>
      <w:r w:rsidRPr="00231A4E">
        <w:rPr>
          <w:rFonts w:ascii="ZapfHumnst BT" w:hAnsi="ZapfHumnst BT" w:cs="Arial"/>
          <w:b/>
          <w:i/>
          <w:iCs/>
          <w:sz w:val="23"/>
          <w:szCs w:val="23"/>
        </w:rPr>
        <w:t>RELATADOS PELO CONS. KLEBER DANTAS EULÁLIO</w:t>
      </w:r>
    </w:p>
    <w:p w14:paraId="033B5CD8" w14:textId="77777777" w:rsidR="00EF35DA" w:rsidRPr="00231A4E" w:rsidRDefault="00EF35DA" w:rsidP="00EF35DA">
      <w:pPr>
        <w:spacing w:line="300" w:lineRule="exact"/>
        <w:jc w:val="both"/>
        <w:rPr>
          <w:rFonts w:ascii="ZapfHumnst BT" w:hAnsi="ZapfHumnst BT" w:cs="Arial"/>
          <w:b/>
          <w:i/>
          <w:iCs/>
          <w:sz w:val="23"/>
          <w:szCs w:val="23"/>
        </w:rPr>
      </w:pPr>
    </w:p>
    <w:p w14:paraId="7CBDF35D" w14:textId="162D59F4" w:rsidR="001D7DD9" w:rsidRPr="00231A4E" w:rsidRDefault="001D7DD9" w:rsidP="001D7DD9">
      <w:pPr>
        <w:spacing w:line="270" w:lineRule="exact"/>
        <w:jc w:val="both"/>
        <w:rPr>
          <w:rFonts w:ascii="ZapfHumnst BT" w:hAnsi="ZapfHumnst BT"/>
          <w:i/>
          <w:iCs/>
          <w:sz w:val="23"/>
          <w:szCs w:val="23"/>
        </w:rPr>
      </w:pPr>
      <w:r w:rsidRPr="00231A4E">
        <w:rPr>
          <w:rFonts w:ascii="ZapfHumnst BT" w:hAnsi="ZapfHumnst BT" w:cs="Arial"/>
          <w:sz w:val="23"/>
          <w:szCs w:val="23"/>
        </w:rPr>
        <w:t>EXTRATO DE JULGAMENTO</w:t>
      </w:r>
      <w:r w:rsidRPr="00231A4E">
        <w:rPr>
          <w:rFonts w:ascii="ZapfHumnst BT" w:hAnsi="ZapfHumnst BT"/>
          <w:sz w:val="23"/>
          <w:szCs w:val="23"/>
        </w:rPr>
        <w:t xml:space="preserve"> Nº 163/2025.</w:t>
      </w:r>
      <w:r w:rsidRPr="00231A4E">
        <w:rPr>
          <w:rFonts w:ascii="ZapfHumnst BT" w:hAnsi="ZapfHumnst BT"/>
          <w:b/>
          <w:bCs/>
          <w:sz w:val="23"/>
          <w:szCs w:val="23"/>
        </w:rPr>
        <w:t xml:space="preserve"> TC/007739/2023 – TOMADA DE CONTAS ESPECIAL DA SECRETARIA MUNICIPAL DE ADMINISTRAÇÃO DE TERESINA (EXERCÍCIO FINANCEIRO DE 2023).</w:t>
      </w:r>
      <w:r w:rsidRPr="00231A4E">
        <w:rPr>
          <w:rFonts w:ascii="ZapfHumnst BT" w:hAnsi="ZapfHumnst BT"/>
          <w:sz w:val="23"/>
          <w:szCs w:val="23"/>
        </w:rPr>
        <w:t xml:space="preserve"> Objeto:</w:t>
      </w:r>
      <w:r w:rsidRPr="00231A4E">
        <w:t xml:space="preserve"> </w:t>
      </w:r>
      <w:r w:rsidRPr="00231A4E">
        <w:rPr>
          <w:rFonts w:ascii="ZapfHumnst BT" w:hAnsi="ZapfHumnst BT"/>
          <w:sz w:val="23"/>
          <w:szCs w:val="23"/>
        </w:rPr>
        <w:t xml:space="preserve">quantificação e apuração de responsabilidades por contratação com evidências de dano ao erário, decorrente de indevida classificação, adjudicação e homologação de proposta menos vantajosa economicamente, resultando em um prejuízo de R$ 1.912.271,20. </w:t>
      </w:r>
      <w:proofErr w:type="gramStart"/>
      <w:r w:rsidRPr="00231A4E">
        <w:rPr>
          <w:rFonts w:ascii="ZapfHumnst BT" w:hAnsi="ZapfHumnst BT" w:cs="Arial"/>
          <w:sz w:val="23"/>
          <w:szCs w:val="23"/>
        </w:rPr>
        <w:t>Responsável(</w:t>
      </w:r>
      <w:proofErr w:type="spellStart"/>
      <w:proofErr w:type="gramEnd"/>
      <w:r w:rsidRPr="00231A4E">
        <w:rPr>
          <w:rFonts w:ascii="ZapfHumnst BT" w:hAnsi="ZapfHumnst BT" w:cs="Arial"/>
          <w:sz w:val="23"/>
          <w:szCs w:val="23"/>
        </w:rPr>
        <w:t>is</w:t>
      </w:r>
      <w:proofErr w:type="spellEnd"/>
      <w:r w:rsidRPr="00231A4E">
        <w:rPr>
          <w:rFonts w:ascii="ZapfHumnst BT" w:hAnsi="ZapfHumnst BT" w:cs="Arial"/>
          <w:sz w:val="23"/>
          <w:szCs w:val="23"/>
        </w:rPr>
        <w:t xml:space="preserve">): </w:t>
      </w:r>
      <w:proofErr w:type="spellStart"/>
      <w:r w:rsidRPr="00231A4E">
        <w:rPr>
          <w:rFonts w:ascii="ZapfHumnst BT" w:hAnsi="ZapfHumnst BT" w:cs="Arial"/>
          <w:sz w:val="23"/>
          <w:szCs w:val="23"/>
        </w:rPr>
        <w:t>Ronney</w:t>
      </w:r>
      <w:proofErr w:type="spellEnd"/>
      <w:r w:rsidRPr="00231A4E">
        <w:rPr>
          <w:rFonts w:ascii="ZapfHumnst BT" w:hAnsi="ZapfHumnst BT" w:cs="Arial"/>
          <w:sz w:val="23"/>
          <w:szCs w:val="23"/>
        </w:rPr>
        <w:t xml:space="preserve"> Wellington Marques Lustosa – Secretário Municipal; João de Deus Duarte Neto – Diretor-Presidente da ETURB; Paulo Roberto da Rocha Nonato – Projetista e </w:t>
      </w:r>
      <w:proofErr w:type="spellStart"/>
      <w:r w:rsidRPr="00231A4E">
        <w:rPr>
          <w:rFonts w:ascii="ZapfHumnst BT" w:hAnsi="ZapfHumnst BT" w:cs="Arial"/>
          <w:sz w:val="23"/>
          <w:szCs w:val="23"/>
        </w:rPr>
        <w:t>Parecerista</w:t>
      </w:r>
      <w:proofErr w:type="spellEnd"/>
      <w:r w:rsidRPr="00231A4E">
        <w:rPr>
          <w:rFonts w:ascii="ZapfHumnst BT" w:hAnsi="ZapfHumnst BT" w:cs="Arial"/>
          <w:sz w:val="23"/>
          <w:szCs w:val="23"/>
        </w:rPr>
        <w:t xml:space="preserve">; e </w:t>
      </w:r>
      <w:proofErr w:type="spellStart"/>
      <w:r w:rsidRPr="00231A4E">
        <w:rPr>
          <w:rFonts w:ascii="ZapfHumnst BT" w:hAnsi="ZapfHumnst BT" w:cs="Arial"/>
          <w:sz w:val="23"/>
          <w:szCs w:val="23"/>
        </w:rPr>
        <w:t>Josilma</w:t>
      </w:r>
      <w:proofErr w:type="spellEnd"/>
      <w:r w:rsidRPr="00231A4E">
        <w:rPr>
          <w:rFonts w:ascii="ZapfHumnst BT" w:hAnsi="ZapfHumnst BT" w:cs="Arial"/>
          <w:sz w:val="23"/>
          <w:szCs w:val="23"/>
        </w:rPr>
        <w:t xml:space="preserve"> dos Santos Barbosa – Presidente da CPL. Advogado(s): Pedro Henrique Alencar Rebêlo Cruz Lima (OAB/PI nº 14.528) – (Procuração: empresa AGRIMAZA INDUSTRIAL E MINERAÇÃO LTDA – fl. 1 da peça </w:t>
      </w:r>
      <w:proofErr w:type="gramStart"/>
      <w:r w:rsidRPr="00231A4E">
        <w:rPr>
          <w:rFonts w:ascii="ZapfHumnst BT" w:hAnsi="ZapfHumnst BT" w:cs="Arial"/>
          <w:sz w:val="23"/>
          <w:szCs w:val="23"/>
        </w:rPr>
        <w:t>3</w:t>
      </w:r>
      <w:proofErr w:type="gramEnd"/>
      <w:r w:rsidRPr="00231A4E">
        <w:rPr>
          <w:rFonts w:ascii="ZapfHumnst BT" w:hAnsi="ZapfHumnst BT" w:cs="Arial"/>
          <w:sz w:val="23"/>
          <w:szCs w:val="23"/>
        </w:rPr>
        <w:t xml:space="preserve">); Aluísio Henrique de Holanda Filho (OAB/PI nº 8.815) – (Procuração: João de Deus Duarte Neto/Diretor-Presidente da ETURB – fl. 1 da peça 32.2); João Evangelista de Sena Júnior (OAB/PI n° 14.260) – (Procuração: Paulo Roberto da Rocha Nonato/Projetista e </w:t>
      </w:r>
      <w:proofErr w:type="spellStart"/>
      <w:r w:rsidRPr="00231A4E">
        <w:rPr>
          <w:rFonts w:ascii="ZapfHumnst BT" w:hAnsi="ZapfHumnst BT" w:cs="Arial"/>
          <w:sz w:val="23"/>
          <w:szCs w:val="23"/>
        </w:rPr>
        <w:t>Parecerista</w:t>
      </w:r>
      <w:proofErr w:type="spellEnd"/>
      <w:r w:rsidRPr="00231A4E">
        <w:rPr>
          <w:rFonts w:ascii="ZapfHumnst BT" w:hAnsi="ZapfHumnst BT" w:cs="Arial"/>
          <w:sz w:val="23"/>
          <w:szCs w:val="23"/>
        </w:rPr>
        <w:t xml:space="preserve"> – fl. 1 da peça 59.2); e Samuel Leite Feitosa Soares (OAB/PI nº 11.405) – (Procuração: Paulo Roberto da Rocha Nonato/Projetista e </w:t>
      </w:r>
      <w:proofErr w:type="spellStart"/>
      <w:r w:rsidRPr="00231A4E">
        <w:rPr>
          <w:rFonts w:ascii="ZapfHumnst BT" w:hAnsi="ZapfHumnst BT" w:cs="Arial"/>
          <w:sz w:val="23"/>
          <w:szCs w:val="23"/>
        </w:rPr>
        <w:t>Parecerista</w:t>
      </w:r>
      <w:proofErr w:type="spellEnd"/>
      <w:r w:rsidRPr="00231A4E">
        <w:rPr>
          <w:rFonts w:ascii="ZapfHumnst BT" w:hAnsi="ZapfHumnst BT" w:cs="Arial"/>
          <w:sz w:val="23"/>
          <w:szCs w:val="23"/>
        </w:rPr>
        <w:t xml:space="preserve"> – fl. 6 da peça 69.1). </w:t>
      </w:r>
      <w:r w:rsidRPr="00231A4E">
        <w:rPr>
          <w:rFonts w:ascii="ZapfHumnst BT" w:hAnsi="ZapfHumnst BT"/>
          <w:sz w:val="23"/>
          <w:szCs w:val="23"/>
        </w:rPr>
        <w:t xml:space="preserve">Vistos, relatados e discutidos os presentes autos, considerando o Acórdão nº 372/2025 – 1ª CÂMARA (peça 81), a Informação da Diretoria de Fiscalização de Infraestrutura e Desenvolvimento Urbano – DFINFRA (peça 88), </w:t>
      </w:r>
      <w:r w:rsidRPr="00231A4E">
        <w:rPr>
          <w:rFonts w:ascii="ZapfHumnst BT" w:hAnsi="ZapfHumnst BT" w:cs="Arial"/>
          <w:sz w:val="23"/>
          <w:szCs w:val="23"/>
        </w:rPr>
        <w:t xml:space="preserve">o parecer do Ministério Público de Contas (peça 91), </w:t>
      </w:r>
      <w:r w:rsidRPr="00231A4E">
        <w:rPr>
          <w:rFonts w:ascii="ZapfHumnst BT" w:hAnsi="ZapfHumnst BT"/>
          <w:sz w:val="23"/>
          <w:szCs w:val="23"/>
        </w:rPr>
        <w:t xml:space="preserve">e o mais que dos autos consta, decidiu a Primeira Câmara, unânime, </w:t>
      </w:r>
      <w:r w:rsidRPr="00231A4E">
        <w:rPr>
          <w:rFonts w:ascii="ZapfHumnst BT" w:hAnsi="ZapfHumnst BT" w:cs="Arial"/>
          <w:sz w:val="23"/>
          <w:szCs w:val="23"/>
        </w:rPr>
        <w:t xml:space="preserve">conforme e pelos fundamentos expostos no voto do Relator </w:t>
      </w:r>
      <w:r w:rsidRPr="00231A4E">
        <w:rPr>
          <w:rFonts w:ascii="ZapfHumnst BT" w:hAnsi="ZapfHumnst BT"/>
          <w:sz w:val="23"/>
          <w:szCs w:val="23"/>
        </w:rPr>
        <w:t>(peça 96), nos seguintes termos:</w:t>
      </w:r>
      <w:r w:rsidRPr="00231A4E">
        <w:rPr>
          <w:rFonts w:ascii="ZapfHumnst BT" w:hAnsi="ZapfHumnst BT"/>
          <w:sz w:val="23"/>
          <w:szCs w:val="23"/>
        </w:rPr>
        <w:t xml:space="preserve"> a) </w:t>
      </w:r>
      <w:r w:rsidRPr="00231A4E">
        <w:rPr>
          <w:rFonts w:ascii="ZapfHumnst BT" w:hAnsi="ZapfHumnst BT"/>
          <w:i/>
          <w:iCs/>
          <w:sz w:val="23"/>
          <w:szCs w:val="23"/>
        </w:rPr>
        <w:t>pela</w:t>
      </w:r>
      <w:r w:rsidRPr="00231A4E">
        <w:rPr>
          <w:rFonts w:ascii="ZapfHumnst BT" w:hAnsi="ZapfHumnst BT"/>
          <w:b/>
          <w:bCs/>
          <w:i/>
          <w:iCs/>
          <w:caps/>
          <w:sz w:val="23"/>
          <w:szCs w:val="23"/>
        </w:rPr>
        <w:t xml:space="preserve"> autuação</w:t>
      </w:r>
      <w:r w:rsidRPr="00231A4E">
        <w:rPr>
          <w:rFonts w:ascii="ZapfHumnst BT" w:hAnsi="ZapfHumnst BT"/>
          <w:i/>
          <w:iCs/>
          <w:sz w:val="23"/>
          <w:szCs w:val="23"/>
        </w:rPr>
        <w:t xml:space="preserve"> de um </w:t>
      </w:r>
      <w:r w:rsidRPr="00231A4E">
        <w:rPr>
          <w:rFonts w:ascii="ZapfHumnst BT" w:hAnsi="ZapfHumnst BT"/>
          <w:b/>
          <w:bCs/>
          <w:i/>
          <w:iCs/>
          <w:sz w:val="23"/>
          <w:szCs w:val="23"/>
        </w:rPr>
        <w:t>processo específico de Tomada de Contas Especial (exercício financeiro de 2026)</w:t>
      </w:r>
      <w:r w:rsidRPr="00231A4E">
        <w:rPr>
          <w:rFonts w:ascii="ZapfHumnst BT" w:hAnsi="ZapfHumnst BT"/>
          <w:i/>
          <w:iCs/>
          <w:sz w:val="23"/>
          <w:szCs w:val="23"/>
        </w:rPr>
        <w:t xml:space="preserve"> e, após a devida autuação do novo processo de Tomada de Contas Especial (TCE) e a certificação nestes autos, o regular arquivamento do presente feito, concordando-se integralmente com a análise da DFINFRA II (peça 88) e do Ministério Público de Contas (peça 91).</w:t>
      </w:r>
    </w:p>
    <w:p w14:paraId="64E09AC3" w14:textId="77777777" w:rsidR="001D7DD9" w:rsidRPr="00231A4E" w:rsidRDefault="001D7DD9" w:rsidP="001D7DD9">
      <w:pPr>
        <w:spacing w:line="270" w:lineRule="exact"/>
        <w:jc w:val="both"/>
        <w:rPr>
          <w:rFonts w:ascii="ZapfHumnst BT" w:hAnsi="ZapfHumnst BT"/>
          <w:i/>
          <w:iCs/>
          <w:sz w:val="23"/>
          <w:szCs w:val="23"/>
        </w:rPr>
      </w:pPr>
    </w:p>
    <w:p w14:paraId="179E22BA" w14:textId="108BC709" w:rsidR="001D7DD9" w:rsidRPr="00231A4E" w:rsidRDefault="001D7DD9" w:rsidP="001D7DD9">
      <w:pPr>
        <w:spacing w:line="30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  <w:r w:rsidRPr="00231A4E">
        <w:rPr>
          <w:rFonts w:ascii="ZapfHumnst BT" w:hAnsi="ZapfHumnst BT" w:cs="Arial"/>
          <w:sz w:val="23"/>
          <w:szCs w:val="23"/>
        </w:rPr>
        <w:t>EXTRATO DE JULGAMENTO Nº 164/2026.</w:t>
      </w:r>
      <w:r w:rsidRPr="00231A4E">
        <w:rPr>
          <w:rFonts w:ascii="ZapfHumnst BT" w:hAnsi="ZapfHumnst BT" w:cs="Arial"/>
          <w:b/>
          <w:sz w:val="23"/>
          <w:szCs w:val="23"/>
        </w:rPr>
        <w:t xml:space="preserve"> </w:t>
      </w:r>
      <w:r w:rsidRPr="00231A4E">
        <w:rPr>
          <w:rFonts w:ascii="ZapfHumnst BT" w:hAnsi="ZapfHumnst BT" w:cs="Arial"/>
          <w:b/>
          <w:caps/>
          <w:noProof/>
          <w:sz w:val="23"/>
          <w:szCs w:val="23"/>
        </w:rPr>
        <w:t xml:space="preserve">TC/008257/2026 – </w:t>
      </w:r>
      <w:r w:rsidRPr="00231A4E">
        <w:rPr>
          <w:rFonts w:ascii="ZapfHumnst BT" w:hAnsi="ZapfHumnst BT" w:cs="Arial"/>
          <w:b/>
          <w:caps/>
          <w:sz w:val="23"/>
          <w:szCs w:val="23"/>
        </w:rPr>
        <w:t>Aposentadoria por TEMPO DE CONTRIBUIÇÃO COM PROVENTOS INTEGRAIS</w:t>
      </w:r>
      <w:r w:rsidRPr="00231A4E">
        <w:rPr>
          <w:rFonts w:ascii="ZapfHumnst BT" w:hAnsi="ZapfHumnst BT" w:cs="Arial"/>
          <w:bCs/>
          <w:caps/>
          <w:sz w:val="23"/>
          <w:szCs w:val="23"/>
        </w:rPr>
        <w:t xml:space="preserve"> (</w:t>
      </w:r>
      <w:r w:rsidRPr="00231A4E">
        <w:rPr>
          <w:rFonts w:ascii="ZapfHumnst BT" w:hAnsi="ZapfHumnst BT" w:cs="Arial"/>
          <w:bCs/>
          <w:i/>
          <w:iCs/>
          <w:sz w:val="23"/>
          <w:szCs w:val="23"/>
        </w:rPr>
        <w:t>art.43, II, III, IV, V e §6º, I do ADCT da CE/89, acrescido pela EC nº 54/2019</w:t>
      </w:r>
      <w:r w:rsidRPr="00231A4E">
        <w:rPr>
          <w:rFonts w:ascii="ZapfHumnst BT" w:hAnsi="ZapfHumnst BT" w:cs="Arial"/>
          <w:bCs/>
          <w:caps/>
          <w:sz w:val="23"/>
          <w:szCs w:val="23"/>
        </w:rPr>
        <w:t>)</w:t>
      </w:r>
      <w:r w:rsidRPr="00231A4E">
        <w:rPr>
          <w:rFonts w:ascii="ZapfHumnst BT" w:hAnsi="ZapfHumnst BT" w:cs="Arial"/>
          <w:bCs/>
          <w:sz w:val="23"/>
          <w:szCs w:val="23"/>
        </w:rPr>
        <w:t>.</w:t>
      </w:r>
      <w:r w:rsidRPr="00231A4E">
        <w:rPr>
          <w:rFonts w:ascii="ZapfHumnst BT" w:hAnsi="ZapfHumnst BT" w:cs="Arial"/>
          <w:bCs/>
          <w:caps/>
          <w:noProof/>
          <w:sz w:val="23"/>
          <w:szCs w:val="23"/>
        </w:rPr>
        <w:t xml:space="preserve"> </w:t>
      </w:r>
      <w:r w:rsidRPr="00231A4E">
        <w:rPr>
          <w:rFonts w:ascii="ZapfHumnst BT" w:hAnsi="ZapfHumnst BT" w:cs="Arial"/>
          <w:b/>
          <w:noProof/>
          <w:sz w:val="23"/>
          <w:szCs w:val="23"/>
        </w:rPr>
        <w:t xml:space="preserve">INTERESSADO(A): ANDRELINA LOPES VIANA </w:t>
      </w:r>
      <w:r w:rsidRPr="00231A4E">
        <w:rPr>
          <w:rFonts w:ascii="ZapfHumnst BT" w:hAnsi="ZapfHumnst BT" w:cs="Arial"/>
          <w:noProof/>
          <w:sz w:val="23"/>
          <w:szCs w:val="23"/>
        </w:rPr>
        <w:t>(</w:t>
      </w:r>
      <w:r w:rsidRPr="00231A4E">
        <w:rPr>
          <w:rFonts w:ascii="ZapfHumnst BT" w:hAnsi="ZapfHumnst BT" w:cs="Arial"/>
          <w:sz w:val="23"/>
          <w:szCs w:val="23"/>
        </w:rPr>
        <w:t>CPF nº 339.***.***-**)</w:t>
      </w:r>
      <w:r w:rsidRPr="00231A4E">
        <w:rPr>
          <w:rFonts w:ascii="ZapfHumnst BT" w:hAnsi="ZapfHumnst BT" w:cs="Arial"/>
          <w:bCs/>
          <w:sz w:val="23"/>
          <w:szCs w:val="23"/>
        </w:rPr>
        <w:t>, ocupante do cargo de Agente Operacional de Serviços, classe I, padrão “D”, matrícula nº 0698083, do quadro de pessoal da Secretaria de Educação do Estado do Piauí (SEDUC)</w:t>
      </w:r>
      <w:r w:rsidRPr="00231A4E">
        <w:rPr>
          <w:rFonts w:ascii="ZapfHumnst BT" w:hAnsi="ZapfHumnst BT" w:cs="Arial"/>
          <w:bCs/>
          <w:noProof/>
          <w:sz w:val="23"/>
          <w:szCs w:val="23"/>
        </w:rPr>
        <w:t xml:space="preserve">. </w:t>
      </w:r>
      <w:r w:rsidRPr="00231A4E">
        <w:rPr>
          <w:rFonts w:ascii="ZapfHumnst BT" w:hAnsi="ZapfHumnst BT" w:cs="Arial"/>
          <w:sz w:val="23"/>
          <w:szCs w:val="23"/>
        </w:rPr>
        <w:t xml:space="preserve">Vistos, relatados e discutidos os presentes autos, considerando o Relatório Preliminar da Divisão de Fiscalização de Aposentadorias, </w:t>
      </w:r>
      <w:r w:rsidRPr="00231A4E">
        <w:rPr>
          <w:rFonts w:ascii="ZapfHumnst BT" w:hAnsi="ZapfHumnst BT" w:cs="Arial"/>
          <w:sz w:val="23"/>
          <w:szCs w:val="23"/>
        </w:rPr>
        <w:lastRenderedPageBreak/>
        <w:t xml:space="preserve">Reformas e Pensões – DFPESSOAL </w:t>
      </w:r>
      <w:proofErr w:type="gramStart"/>
      <w:r w:rsidRPr="00231A4E">
        <w:rPr>
          <w:rFonts w:ascii="ZapfHumnst BT" w:hAnsi="ZapfHumnst BT" w:cs="Arial"/>
          <w:sz w:val="23"/>
          <w:szCs w:val="23"/>
        </w:rPr>
        <w:t>3</w:t>
      </w:r>
      <w:proofErr w:type="gramEnd"/>
      <w:r w:rsidRPr="00231A4E">
        <w:rPr>
          <w:rFonts w:ascii="ZapfHumnst BT" w:hAnsi="ZapfHumnst BT" w:cs="Arial"/>
          <w:sz w:val="23"/>
          <w:szCs w:val="23"/>
        </w:rPr>
        <w:t xml:space="preserve"> (peça 3), o parecer do Ministério Público de Contas-MPC (peça 4), </w:t>
      </w:r>
      <w:r w:rsidRPr="00231A4E">
        <w:rPr>
          <w:rFonts w:ascii="ZapfHumnst BT" w:hAnsi="ZapfHumnst BT"/>
          <w:sz w:val="23"/>
          <w:szCs w:val="23"/>
        </w:rPr>
        <w:t xml:space="preserve">e o mais que dos autos consta, decidiu a 1ª Câmara, unânime, conforme </w:t>
      </w:r>
      <w:r w:rsidRPr="00231A4E">
        <w:rPr>
          <w:rFonts w:ascii="ZapfHumnst BT" w:hAnsi="ZapfHumnst BT" w:cs="Arial"/>
          <w:sz w:val="23"/>
          <w:szCs w:val="23"/>
        </w:rPr>
        <w:t xml:space="preserve">e pelos fundamentos expostos no voto do Relator </w:t>
      </w:r>
      <w:r w:rsidRPr="00231A4E">
        <w:rPr>
          <w:rFonts w:ascii="ZapfHumnst BT" w:hAnsi="ZapfHumnst BT"/>
          <w:sz w:val="23"/>
          <w:szCs w:val="23"/>
        </w:rPr>
        <w:t>(peça 9), nos seguintes termos:</w:t>
      </w:r>
      <w:r w:rsidRPr="00231A4E">
        <w:rPr>
          <w:rFonts w:ascii="ZapfHumnst BT" w:hAnsi="ZapfHumnst BT"/>
          <w:sz w:val="23"/>
          <w:szCs w:val="23"/>
        </w:rPr>
        <w:t xml:space="preserve"> a) </w:t>
      </w:r>
      <w:r w:rsidRPr="00231A4E">
        <w:rPr>
          <w:rFonts w:ascii="ZapfHumnst BT" w:hAnsi="ZapfHumnst BT" w:cs="Arial"/>
          <w:i/>
          <w:iCs/>
          <w:sz w:val="23"/>
          <w:szCs w:val="23"/>
        </w:rPr>
        <w:t>pelo</w:t>
      </w:r>
      <w:r w:rsidRPr="00231A4E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REGISTRO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da</w:t>
      </w:r>
      <w:r w:rsidRPr="00231A4E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Portaria GP n° 0705/2026-PIAUIPREV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, de 29/04/2026 (fl. 168 da peça 1), publicada no Diário Oficial do Estado nº 102/2026, em 01/06/2026 (fl. 172 da peça 1), concessiva </w:t>
      </w:r>
      <w:r w:rsidRPr="00231A4E">
        <w:rPr>
          <w:rFonts w:ascii="ZapfHumnst BT" w:hAnsi="ZapfHumnst BT" w:cs="Arial"/>
          <w:b/>
          <w:bCs/>
          <w:i/>
          <w:iCs/>
          <w:sz w:val="23"/>
          <w:szCs w:val="23"/>
        </w:rPr>
        <w:t>de Aposentadoria por Tempo de Contribuição com Proventos Integrais</w:t>
      </w:r>
      <w:r w:rsidRPr="00231A4E">
        <w:rPr>
          <w:rFonts w:ascii="ZapfHumnst BT" w:hAnsi="ZapfHumnst BT" w:cs="Arial"/>
          <w:i/>
          <w:iCs/>
          <w:sz w:val="23"/>
          <w:szCs w:val="23"/>
        </w:rPr>
        <w:t>, nos termos do Art. 43 II, III, IV, V e § 6º I do ADCT da CE/89, garantida a paridade, com proventos mensais no valor de</w:t>
      </w:r>
      <w:r w:rsidRPr="00231A4E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R$ 1.929,50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(um mil, novecentos e vinte e nove reais e cinquenta centavos), considerando a mudança de paradigma no âmbito desta Corte de Contas, materializado no Acórdão nº 401/2022 (TC/019500/2021), que modulou os efeitos da Súmula nº 05/2010 do TCE/PI, e em atenção os princípios da segurança jurídica, da boa-fé, da dignidade da pessoa humana e do caráter contributivo do regime previdenciário (art. 40, da CF/88).</w:t>
      </w:r>
    </w:p>
    <w:p w14:paraId="5D5F52B9" w14:textId="77777777" w:rsidR="001D7DD9" w:rsidRPr="00231A4E" w:rsidRDefault="001D7DD9" w:rsidP="001D7DD9">
      <w:pPr>
        <w:spacing w:line="30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</w:p>
    <w:p w14:paraId="2CF574BA" w14:textId="77777777" w:rsidR="001D7DD9" w:rsidRPr="00231A4E" w:rsidRDefault="001D7DD9" w:rsidP="001D7DD9">
      <w:pPr>
        <w:spacing w:line="300" w:lineRule="exact"/>
        <w:jc w:val="both"/>
        <w:rPr>
          <w:rFonts w:ascii="ZapfHumnst BT" w:hAnsi="ZapfHumnst BT" w:cs="Arial"/>
          <w:b/>
          <w:i/>
          <w:iCs/>
          <w:sz w:val="23"/>
          <w:szCs w:val="23"/>
        </w:rPr>
      </w:pPr>
    </w:p>
    <w:p w14:paraId="175C115C" w14:textId="77777777" w:rsidR="001D7DD9" w:rsidRPr="00231A4E" w:rsidRDefault="001D7DD9" w:rsidP="00613BAF">
      <w:pPr>
        <w:keepNext/>
        <w:jc w:val="both"/>
        <w:rPr>
          <w:rFonts w:ascii="ZapfHumnst BT" w:hAnsi="ZapfHumnst BT" w:cs="Arial"/>
          <w:b/>
          <w:caps/>
          <w:sz w:val="23"/>
          <w:szCs w:val="23"/>
        </w:rPr>
      </w:pPr>
      <w:r w:rsidRPr="00231A4E">
        <w:rPr>
          <w:rFonts w:ascii="ZapfHumnst BT" w:hAnsi="ZapfHumnst BT" w:cs="Arial"/>
          <w:b/>
          <w:sz w:val="23"/>
          <w:szCs w:val="23"/>
        </w:rPr>
        <w:t xml:space="preserve">RELATADOS PELO </w:t>
      </w:r>
      <w:r w:rsidRPr="00231A4E">
        <w:rPr>
          <w:rFonts w:ascii="ZapfHumnst BT" w:hAnsi="ZapfHumnst BT" w:cs="Arial"/>
          <w:b/>
          <w:caps/>
          <w:sz w:val="23"/>
          <w:szCs w:val="23"/>
        </w:rPr>
        <w:t xml:space="preserve">Cons. Substituto Jackson </w:t>
      </w:r>
      <w:proofErr w:type="gramStart"/>
      <w:r w:rsidRPr="00231A4E">
        <w:rPr>
          <w:rFonts w:ascii="ZapfHumnst BT" w:hAnsi="ZapfHumnst BT" w:cs="Arial"/>
          <w:b/>
          <w:caps/>
          <w:sz w:val="23"/>
          <w:szCs w:val="23"/>
        </w:rPr>
        <w:t>Nobre Veras</w:t>
      </w:r>
      <w:proofErr w:type="gramEnd"/>
    </w:p>
    <w:p w14:paraId="491C9C99" w14:textId="248BA2CD" w:rsidR="00613BAF" w:rsidRPr="00231A4E" w:rsidRDefault="001D7DD9" w:rsidP="00613BAF">
      <w:pPr>
        <w:keepNext/>
        <w:jc w:val="both"/>
        <w:rPr>
          <w:rFonts w:ascii="ZapfHumnst BT" w:hAnsi="ZapfHumnst BT" w:cs="Arial"/>
          <w:b/>
          <w:sz w:val="23"/>
          <w:szCs w:val="23"/>
        </w:rPr>
      </w:pPr>
      <w:r w:rsidRPr="00231A4E">
        <w:rPr>
          <w:rFonts w:ascii="ZapfHumnst BT" w:hAnsi="ZapfHumnst BT" w:cs="Arial"/>
          <w:caps/>
          <w:sz w:val="23"/>
          <w:szCs w:val="23"/>
        </w:rPr>
        <w:t>(</w:t>
      </w:r>
      <w:r w:rsidRPr="00231A4E">
        <w:rPr>
          <w:rFonts w:ascii="ZapfHumnst BT" w:hAnsi="ZapfHumnst BT" w:cs="Arial"/>
          <w:sz w:val="23"/>
          <w:szCs w:val="23"/>
        </w:rPr>
        <w:t>EM SUBSTITUIÇÃO A CONS.ª FLORA IZABEL NOBRE RODRIGUES)</w:t>
      </w:r>
      <w:r w:rsidRPr="00231A4E">
        <w:rPr>
          <w:rFonts w:ascii="ZapfHumnst BT" w:hAnsi="ZapfHumnst BT" w:cs="Arial"/>
          <w:sz w:val="23"/>
          <w:szCs w:val="23"/>
        </w:rPr>
        <w:t>.</w:t>
      </w:r>
    </w:p>
    <w:p w14:paraId="17AC8D10" w14:textId="77777777" w:rsidR="001D7DD9" w:rsidRPr="00231A4E" w:rsidRDefault="001D7DD9" w:rsidP="00613BAF">
      <w:pPr>
        <w:keepNext/>
        <w:jc w:val="both"/>
        <w:rPr>
          <w:rFonts w:ascii="ZapfHumnst BT" w:hAnsi="ZapfHumnst BT" w:cs="Arial"/>
          <w:b/>
          <w:sz w:val="23"/>
          <w:szCs w:val="23"/>
        </w:rPr>
      </w:pPr>
    </w:p>
    <w:p w14:paraId="51AC6C5D" w14:textId="508CF228" w:rsidR="001D7DD9" w:rsidRPr="00231A4E" w:rsidRDefault="001D7DD9" w:rsidP="001D7DD9">
      <w:pPr>
        <w:autoSpaceDE w:val="0"/>
        <w:autoSpaceDN w:val="0"/>
        <w:adjustRightInd w:val="0"/>
        <w:spacing w:line="300" w:lineRule="exact"/>
        <w:jc w:val="both"/>
        <w:rPr>
          <w:rFonts w:ascii="ZapfHumnst BT" w:hAnsi="ZapfHumnst BT" w:cs="Arial"/>
          <w:bCs/>
          <w:i/>
          <w:iCs/>
          <w:sz w:val="23"/>
          <w:szCs w:val="23"/>
        </w:rPr>
      </w:pPr>
      <w:r w:rsidRPr="00231A4E">
        <w:rPr>
          <w:rFonts w:ascii="ZapfHumnst BT" w:hAnsi="ZapfHumnst BT" w:cs="Arial"/>
          <w:sz w:val="23"/>
          <w:szCs w:val="23"/>
        </w:rPr>
        <w:t>EXTRATO DE JULGAMENTO Nº 165/2026.</w:t>
      </w:r>
      <w:r w:rsidRPr="00231A4E">
        <w:rPr>
          <w:rFonts w:ascii="ZapfHumnst BT" w:hAnsi="ZapfHumnst BT" w:cs="Arial"/>
          <w:b/>
          <w:bCs/>
          <w:caps/>
          <w:sz w:val="23"/>
          <w:szCs w:val="23"/>
        </w:rPr>
        <w:t xml:space="preserve"> </w:t>
      </w:r>
      <w:r w:rsidRPr="00231A4E">
        <w:rPr>
          <w:rFonts w:ascii="ZapfHumnst BT" w:hAnsi="ZapfHumnst BT" w:cs="Arial"/>
          <w:b/>
          <w:bCs/>
          <w:caps/>
          <w:noProof/>
          <w:sz w:val="23"/>
          <w:szCs w:val="23"/>
        </w:rPr>
        <w:t>TC/008984/2026 – MONITORAMENTO DE CUMPRIMENTO DE DECISÃO EXARADA POR INTERMÉDIO DO ACÓRDÃO Nº 326/2025 – 1ª CÂMARA, REFERENTE AO PROCESSO TC/008077/2024 (AUDITORIA NA PREFEITURA MUNICIPAL DE PICOS-PI, EXERCÍCIO FINANCEIRO DE 2024)</w:t>
      </w:r>
      <w:r w:rsidRPr="00231A4E">
        <w:rPr>
          <w:rFonts w:ascii="ZapfHumnst BT" w:hAnsi="ZapfHumnst BT" w:cs="Arial"/>
          <w:b/>
          <w:bCs/>
          <w:noProof/>
          <w:sz w:val="23"/>
          <w:szCs w:val="23"/>
        </w:rPr>
        <w:t xml:space="preserve">. </w:t>
      </w:r>
      <w:r w:rsidRPr="00231A4E">
        <w:rPr>
          <w:rFonts w:ascii="ZapfHumnst BT" w:hAnsi="ZapfHumnst BT" w:cs="Arial"/>
          <w:sz w:val="23"/>
          <w:szCs w:val="23"/>
        </w:rPr>
        <w:t>Responsável (pelo cumprimento da decisão):</w:t>
      </w:r>
      <w:r w:rsidRPr="00231A4E">
        <w:rPr>
          <w:rFonts w:ascii="ZapfHumnst BT" w:hAnsi="ZapfHumnst BT" w:cs="Arial"/>
          <w:sz w:val="23"/>
          <w:szCs w:val="23"/>
          <w:lang w:val="pt-PT"/>
        </w:rPr>
        <w:t xml:space="preserve"> Pablo Dantas de Moura Santos </w:t>
      </w:r>
      <w:r w:rsidRPr="00231A4E">
        <w:rPr>
          <w:rFonts w:ascii="ZapfHumnst BT" w:hAnsi="ZapfHumnst BT" w:cs="Arial"/>
          <w:sz w:val="23"/>
          <w:szCs w:val="23"/>
        </w:rPr>
        <w:t>– Prefeito Municipal.</w:t>
      </w:r>
      <w:r w:rsidRPr="00231A4E">
        <w:rPr>
          <w:rFonts w:ascii="ZapfHumnst BT" w:hAnsi="ZapfHumnst BT"/>
          <w:sz w:val="23"/>
          <w:szCs w:val="23"/>
        </w:rPr>
        <w:t xml:space="preserve"> Advogado(s): </w:t>
      </w:r>
      <w:proofErr w:type="spellStart"/>
      <w:r w:rsidRPr="00231A4E">
        <w:rPr>
          <w:rFonts w:ascii="ZapfHumnst BT" w:hAnsi="ZapfHumnst BT"/>
          <w:sz w:val="23"/>
          <w:szCs w:val="23"/>
        </w:rPr>
        <w:t>Charlles</w:t>
      </w:r>
      <w:proofErr w:type="spellEnd"/>
      <w:r w:rsidRPr="00231A4E">
        <w:rPr>
          <w:rFonts w:ascii="ZapfHumnst BT" w:hAnsi="ZapfHumnst BT"/>
          <w:sz w:val="23"/>
          <w:szCs w:val="23"/>
        </w:rPr>
        <w:t xml:space="preserve"> Max Pessoa Marques da Rocha (OAB/PI nº 2.820) e</w:t>
      </w:r>
      <w:r w:rsidRPr="00231A4E">
        <w:rPr>
          <w:rFonts w:ascii="ZapfHumnst BT" w:hAnsi="ZapfHumnst BT"/>
          <w:i/>
          <w:iCs/>
          <w:sz w:val="23"/>
          <w:szCs w:val="23"/>
        </w:rPr>
        <w:t xml:space="preserve"> outros</w:t>
      </w:r>
      <w:r w:rsidRPr="00231A4E">
        <w:rPr>
          <w:rFonts w:ascii="ZapfHumnst BT" w:hAnsi="ZapfHumnst BT"/>
          <w:sz w:val="23"/>
          <w:szCs w:val="23"/>
        </w:rPr>
        <w:t xml:space="preserve"> – (Procuração: </w:t>
      </w:r>
      <w:r w:rsidRPr="00231A4E">
        <w:rPr>
          <w:rFonts w:ascii="ZapfHumnst BT" w:hAnsi="ZapfHumnst BT" w:cs="Arial"/>
          <w:sz w:val="23"/>
          <w:szCs w:val="23"/>
          <w:lang w:val="pt-PT"/>
        </w:rPr>
        <w:t>Pablo Dantas de Moura Santos/</w:t>
      </w:r>
      <w:r w:rsidRPr="00231A4E">
        <w:rPr>
          <w:rFonts w:ascii="ZapfHumnst BT" w:hAnsi="ZapfHumnst BT" w:cs="Arial"/>
          <w:sz w:val="23"/>
          <w:szCs w:val="23"/>
        </w:rPr>
        <w:t>Prefeito Municipal</w:t>
      </w:r>
      <w:r w:rsidRPr="00231A4E">
        <w:rPr>
          <w:rFonts w:ascii="ZapfHumnst BT" w:hAnsi="ZapfHumnst BT"/>
          <w:sz w:val="23"/>
          <w:szCs w:val="23"/>
        </w:rPr>
        <w:t xml:space="preserve"> – fl. 1 da peça 22.2). </w:t>
      </w:r>
      <w:r w:rsidRPr="00231A4E">
        <w:rPr>
          <w:rFonts w:ascii="ZapfHumnst BT" w:hAnsi="ZapfHumnst BT" w:cs="Arial"/>
          <w:sz w:val="23"/>
          <w:szCs w:val="23"/>
        </w:rPr>
        <w:t xml:space="preserve">Vistos, relatados e discutidos os presentes autos, considerando o Acórdão n° 326/2025 – 1ª CÂMARA (peça </w:t>
      </w:r>
      <w:proofErr w:type="gramStart"/>
      <w:r w:rsidRPr="00231A4E">
        <w:rPr>
          <w:rFonts w:ascii="ZapfHumnst BT" w:hAnsi="ZapfHumnst BT" w:cs="Arial"/>
          <w:sz w:val="23"/>
          <w:szCs w:val="23"/>
        </w:rPr>
        <w:t>1</w:t>
      </w:r>
      <w:proofErr w:type="gramEnd"/>
      <w:r w:rsidRPr="00231A4E">
        <w:rPr>
          <w:rFonts w:ascii="ZapfHumnst BT" w:hAnsi="ZapfHumnst BT" w:cs="Arial"/>
          <w:sz w:val="23"/>
          <w:szCs w:val="23"/>
        </w:rPr>
        <w:t xml:space="preserve"> do processo TC/008984/2026</w:t>
      </w:r>
      <w:r w:rsidRPr="00231A4E">
        <w:rPr>
          <w:rFonts w:ascii="ZapfHumnst BT" w:hAnsi="ZapfHumnst BT" w:cs="Arial"/>
          <w:noProof/>
          <w:sz w:val="23"/>
          <w:szCs w:val="23"/>
        </w:rPr>
        <w:t>), a Informação da Diretoria de Fiscalização de Infraestrutura e Desenvolvimento Urbano – DFINFRA (peça 13</w:t>
      </w:r>
      <w:r w:rsidRPr="00231A4E">
        <w:rPr>
          <w:rFonts w:ascii="ZapfHumnst BT" w:hAnsi="ZapfHumnst BT" w:cs="Arial"/>
          <w:sz w:val="23"/>
          <w:szCs w:val="23"/>
        </w:rPr>
        <w:t xml:space="preserve"> do processo TC/008984/2026</w:t>
      </w:r>
      <w:r w:rsidRPr="00231A4E">
        <w:rPr>
          <w:rFonts w:ascii="ZapfHumnst BT" w:hAnsi="ZapfHumnst BT" w:cs="Arial"/>
          <w:noProof/>
          <w:sz w:val="23"/>
          <w:szCs w:val="23"/>
        </w:rPr>
        <w:t xml:space="preserve">), </w:t>
      </w:r>
      <w:r w:rsidRPr="00231A4E">
        <w:rPr>
          <w:rFonts w:ascii="ZapfHumnst BT" w:hAnsi="ZapfHumnst BT" w:cs="Arial"/>
          <w:sz w:val="23"/>
          <w:szCs w:val="23"/>
        </w:rPr>
        <w:t>o parecer do Ministério Público de Contas (peça 16 do processo TC/008984/2026</w:t>
      </w:r>
      <w:r w:rsidRPr="00231A4E">
        <w:rPr>
          <w:rFonts w:ascii="ZapfHumnst BT" w:hAnsi="ZapfHumnst BT" w:cs="Arial"/>
          <w:noProof/>
          <w:sz w:val="23"/>
          <w:szCs w:val="23"/>
        </w:rPr>
        <w:t xml:space="preserve">), </w:t>
      </w:r>
      <w:r w:rsidRPr="00231A4E">
        <w:rPr>
          <w:rFonts w:ascii="ZapfHumnst BT" w:hAnsi="ZapfHumnst BT"/>
          <w:sz w:val="23"/>
          <w:szCs w:val="23"/>
        </w:rPr>
        <w:t xml:space="preserve">e o mais que dos autos consta, decidiu a Primeira Câmara, unânime, </w:t>
      </w:r>
      <w:r w:rsidRPr="00231A4E">
        <w:rPr>
          <w:rFonts w:ascii="ZapfHumnst BT" w:hAnsi="ZapfHumnst BT" w:cs="Arial"/>
          <w:sz w:val="23"/>
          <w:szCs w:val="23"/>
        </w:rPr>
        <w:t xml:space="preserve">conforme e pelos fundamentos expostos no voto do Relator Substituto </w:t>
      </w:r>
      <w:r w:rsidRPr="00231A4E">
        <w:rPr>
          <w:rFonts w:ascii="ZapfHumnst BT" w:hAnsi="ZapfHumnst BT"/>
          <w:sz w:val="23"/>
          <w:szCs w:val="23"/>
        </w:rPr>
        <w:t>(peça 24), nos seguintes termos:</w:t>
      </w:r>
      <w:r w:rsidRPr="00231A4E">
        <w:rPr>
          <w:rFonts w:ascii="ZapfHumnst BT" w:hAnsi="ZapfHumnst BT"/>
          <w:sz w:val="23"/>
          <w:szCs w:val="23"/>
        </w:rPr>
        <w:t xml:space="preserve"> 1. </w:t>
      </w:r>
      <w:proofErr w:type="gramStart"/>
      <w:r w:rsidRPr="00231A4E">
        <w:rPr>
          <w:rFonts w:ascii="ZapfHumnst BT" w:hAnsi="ZapfHumnst BT" w:cs="Arial"/>
          <w:bCs/>
          <w:i/>
          <w:iCs/>
          <w:sz w:val="23"/>
          <w:szCs w:val="23"/>
        </w:rPr>
        <w:t>pelo</w:t>
      </w:r>
      <w:proofErr w:type="gramEnd"/>
      <w:r w:rsidRPr="00231A4E">
        <w:rPr>
          <w:rFonts w:ascii="ZapfHumnst BT" w:hAnsi="ZapfHumnst BT" w:cs="Arial"/>
          <w:b/>
          <w:i/>
          <w:iCs/>
          <w:caps/>
          <w:sz w:val="23"/>
          <w:szCs w:val="23"/>
        </w:rPr>
        <w:t xml:space="preserve"> arquivamento</w:t>
      </w:r>
      <w:r w:rsidRPr="00231A4E">
        <w:rPr>
          <w:rFonts w:ascii="ZapfHumnst BT" w:hAnsi="ZapfHumnst BT" w:cs="Arial"/>
          <w:bCs/>
          <w:i/>
          <w:iCs/>
          <w:sz w:val="23"/>
          <w:szCs w:val="23"/>
        </w:rPr>
        <w:t xml:space="preserve"> do presente processo, nos termos do art. 402, inciso I, do Regimento Interno do TCE/PI, considerando: </w:t>
      </w:r>
      <w:r w:rsidRPr="00231A4E">
        <w:rPr>
          <w:rFonts w:ascii="ZapfHumnst BT" w:hAnsi="ZapfHumnst BT" w:cs="Arial"/>
          <w:b/>
          <w:i/>
          <w:iCs/>
          <w:sz w:val="23"/>
          <w:szCs w:val="23"/>
        </w:rPr>
        <w:t>(I)</w:t>
      </w:r>
      <w:r w:rsidRPr="00231A4E">
        <w:rPr>
          <w:rFonts w:ascii="ZapfHumnst BT" w:hAnsi="ZapfHumnst BT" w:cs="Arial"/>
          <w:bCs/>
          <w:i/>
          <w:iCs/>
          <w:sz w:val="23"/>
          <w:szCs w:val="23"/>
        </w:rPr>
        <w:t xml:space="preserve"> que se encontra em andamento o Levantamento TC/005297/2026, destinado à avaliação da disposição final de resíduos sólidos nos municípios piauienses, cujos resultados subsidiarão a futura fiscalização acerca do cumprimento das determinações expedidas; e </w:t>
      </w:r>
      <w:r w:rsidRPr="00231A4E">
        <w:rPr>
          <w:rFonts w:ascii="ZapfHumnst BT" w:hAnsi="ZapfHumnst BT" w:cs="Arial"/>
          <w:b/>
          <w:i/>
          <w:iCs/>
          <w:sz w:val="23"/>
          <w:szCs w:val="23"/>
        </w:rPr>
        <w:t>(II)</w:t>
      </w:r>
      <w:r w:rsidRPr="00231A4E">
        <w:rPr>
          <w:rFonts w:ascii="ZapfHumnst BT" w:hAnsi="ZapfHumnst BT" w:cs="Arial"/>
          <w:bCs/>
          <w:i/>
          <w:iCs/>
          <w:sz w:val="23"/>
          <w:szCs w:val="23"/>
        </w:rPr>
        <w:t xml:space="preserve"> que a aferição do cumprimento da determinação contida no Acórdão nº 326/2025–1ª Câmara será realizada será realizada em procedimento específico, nos termos do art. 49 da Instrução Normativa TCE/PI nº 6/2024.</w:t>
      </w:r>
    </w:p>
    <w:p w14:paraId="5A2BABC1" w14:textId="77777777" w:rsidR="00445D4B" w:rsidRPr="00231A4E" w:rsidRDefault="00445D4B" w:rsidP="001D7DD9">
      <w:pPr>
        <w:autoSpaceDE w:val="0"/>
        <w:autoSpaceDN w:val="0"/>
        <w:adjustRightInd w:val="0"/>
        <w:spacing w:line="300" w:lineRule="exact"/>
        <w:jc w:val="both"/>
        <w:rPr>
          <w:rFonts w:ascii="ZapfHumnst BT" w:hAnsi="ZapfHumnst BT" w:cs="Arial"/>
          <w:bCs/>
          <w:i/>
          <w:iCs/>
          <w:sz w:val="23"/>
          <w:szCs w:val="23"/>
        </w:rPr>
      </w:pPr>
    </w:p>
    <w:p w14:paraId="74A7AEDA" w14:textId="77777777" w:rsidR="00A9084B" w:rsidRPr="00231A4E" w:rsidRDefault="00A9084B" w:rsidP="009B48F4">
      <w:pPr>
        <w:jc w:val="both"/>
        <w:rPr>
          <w:rFonts w:ascii="ZapfHumnst BT" w:hAnsi="ZapfHumnst BT" w:cs="Arial"/>
          <w:b/>
          <w:i/>
          <w:iCs/>
          <w:sz w:val="23"/>
          <w:szCs w:val="23"/>
        </w:rPr>
      </w:pPr>
      <w:bookmarkStart w:id="1" w:name="_GoBack"/>
      <w:bookmarkEnd w:id="1"/>
    </w:p>
    <w:p w14:paraId="24EBA9E5" w14:textId="3EACB113" w:rsidR="002666DF" w:rsidRPr="00231A4E" w:rsidRDefault="002666DF" w:rsidP="009B48F4">
      <w:pPr>
        <w:jc w:val="both"/>
        <w:rPr>
          <w:rFonts w:ascii="ZapfHumnst BT" w:hAnsi="ZapfHumnst BT" w:cs="Arial"/>
          <w:b/>
          <w:i/>
          <w:iCs/>
          <w:sz w:val="23"/>
          <w:szCs w:val="23"/>
        </w:rPr>
      </w:pPr>
      <w:r w:rsidRPr="00231A4E">
        <w:rPr>
          <w:rFonts w:ascii="ZapfHumnst BT" w:hAnsi="ZapfHumnst BT" w:cs="Arial"/>
          <w:b/>
          <w:i/>
          <w:iCs/>
          <w:sz w:val="23"/>
          <w:szCs w:val="23"/>
        </w:rPr>
        <w:t>RELATADOS PEL</w:t>
      </w:r>
      <w:r w:rsidR="00FF1619" w:rsidRPr="00231A4E">
        <w:rPr>
          <w:rFonts w:ascii="ZapfHumnst BT" w:hAnsi="ZapfHumnst BT" w:cs="Arial"/>
          <w:b/>
          <w:i/>
          <w:iCs/>
          <w:sz w:val="23"/>
          <w:szCs w:val="23"/>
        </w:rPr>
        <w:t>O</w:t>
      </w:r>
      <w:r w:rsidRPr="00231A4E">
        <w:rPr>
          <w:rFonts w:ascii="ZapfHumnst BT" w:hAnsi="ZapfHumnst BT" w:cs="Arial"/>
          <w:b/>
          <w:i/>
          <w:iCs/>
          <w:sz w:val="23"/>
          <w:szCs w:val="23"/>
        </w:rPr>
        <w:t xml:space="preserve"> CONS. SUBSTITUTO JACKSON </w:t>
      </w:r>
      <w:proofErr w:type="gramStart"/>
      <w:r w:rsidRPr="00231A4E">
        <w:rPr>
          <w:rFonts w:ascii="ZapfHumnst BT" w:hAnsi="ZapfHumnst BT" w:cs="Arial"/>
          <w:b/>
          <w:i/>
          <w:iCs/>
          <w:sz w:val="23"/>
          <w:szCs w:val="23"/>
        </w:rPr>
        <w:t>NOBRE VERAS</w:t>
      </w:r>
      <w:proofErr w:type="gramEnd"/>
    </w:p>
    <w:p w14:paraId="58383A64" w14:textId="77777777" w:rsidR="004658B3" w:rsidRPr="00231A4E" w:rsidRDefault="004658B3" w:rsidP="009B48F4">
      <w:pPr>
        <w:jc w:val="both"/>
        <w:rPr>
          <w:rFonts w:ascii="ZapfHumnst BT" w:hAnsi="ZapfHumnst BT" w:cs="Arial"/>
          <w:b/>
          <w:i/>
          <w:iCs/>
          <w:sz w:val="23"/>
          <w:szCs w:val="23"/>
        </w:rPr>
      </w:pPr>
    </w:p>
    <w:p w14:paraId="2AB5458E" w14:textId="269AA313" w:rsidR="00445D4B" w:rsidRPr="00231A4E" w:rsidRDefault="00445D4B" w:rsidP="00445D4B">
      <w:pPr>
        <w:spacing w:line="30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  <w:r w:rsidRPr="00231A4E">
        <w:rPr>
          <w:rFonts w:ascii="ZapfHumnst BT" w:hAnsi="ZapfHumnst BT" w:cs="Arial"/>
          <w:sz w:val="23"/>
          <w:szCs w:val="23"/>
        </w:rPr>
        <w:t>EXTRATO DE JULGAMENTO Nº 166/2026.</w:t>
      </w:r>
      <w:r w:rsidRPr="00231A4E">
        <w:rPr>
          <w:rFonts w:ascii="ZapfHumnst BT" w:hAnsi="ZapfHumnst BT" w:cs="Arial"/>
          <w:b/>
          <w:sz w:val="23"/>
          <w:szCs w:val="23"/>
        </w:rPr>
        <w:t xml:space="preserve"> </w:t>
      </w:r>
      <w:r w:rsidRPr="00231A4E">
        <w:rPr>
          <w:rFonts w:ascii="ZapfHumnst BT" w:hAnsi="ZapfHumnst BT" w:cs="Arial"/>
          <w:b/>
          <w:caps/>
          <w:noProof/>
          <w:sz w:val="23"/>
          <w:szCs w:val="23"/>
        </w:rPr>
        <w:t xml:space="preserve">TC/009756/2024 – </w:t>
      </w:r>
      <w:r w:rsidRPr="00231A4E">
        <w:rPr>
          <w:rFonts w:ascii="ZapfHumnst BT" w:hAnsi="ZapfHumnst BT" w:cs="Arial"/>
          <w:b/>
          <w:caps/>
          <w:sz w:val="23"/>
          <w:szCs w:val="23"/>
        </w:rPr>
        <w:t xml:space="preserve">Aposentadoria por Idade e Tempo de Contribuição (Regra de Transição da EC n° 47/05 – </w:t>
      </w:r>
      <w:r w:rsidRPr="00231A4E">
        <w:rPr>
          <w:rFonts w:ascii="ZapfHumnst BT" w:hAnsi="ZapfHumnst BT" w:cs="Arial"/>
          <w:bCs/>
          <w:i/>
          <w:iCs/>
          <w:sz w:val="23"/>
          <w:szCs w:val="23"/>
        </w:rPr>
        <w:t xml:space="preserve">art. 3°, </w:t>
      </w:r>
      <w:r w:rsidRPr="00231A4E">
        <w:rPr>
          <w:rFonts w:ascii="ZapfHumnst BT" w:hAnsi="ZapfHumnst BT" w:cs="Arial"/>
          <w:bCs/>
          <w:i/>
          <w:iCs/>
          <w:sz w:val="23"/>
          <w:szCs w:val="23"/>
        </w:rPr>
        <w:lastRenderedPageBreak/>
        <w:t>I, II, III e parágrafo único da EC n° 47/05</w:t>
      </w:r>
      <w:r w:rsidRPr="00231A4E">
        <w:rPr>
          <w:rFonts w:ascii="ZapfHumnst BT" w:hAnsi="ZapfHumnst BT" w:cs="Arial"/>
          <w:bCs/>
          <w:caps/>
          <w:sz w:val="23"/>
          <w:szCs w:val="23"/>
        </w:rPr>
        <w:t>)</w:t>
      </w:r>
      <w:r w:rsidRPr="00231A4E">
        <w:rPr>
          <w:rFonts w:ascii="ZapfHumnst BT" w:hAnsi="ZapfHumnst BT" w:cs="Arial"/>
          <w:bCs/>
          <w:sz w:val="23"/>
          <w:szCs w:val="23"/>
        </w:rPr>
        <w:t>.</w:t>
      </w:r>
      <w:r w:rsidRPr="00231A4E">
        <w:rPr>
          <w:rFonts w:ascii="ZapfHumnst BT" w:hAnsi="ZapfHumnst BT" w:cs="Arial"/>
          <w:bCs/>
          <w:caps/>
          <w:noProof/>
          <w:sz w:val="23"/>
          <w:szCs w:val="23"/>
        </w:rPr>
        <w:t xml:space="preserve"> </w:t>
      </w:r>
      <w:r w:rsidRPr="00231A4E">
        <w:rPr>
          <w:rFonts w:ascii="ZapfHumnst BT" w:hAnsi="ZapfHumnst BT" w:cs="Arial"/>
          <w:b/>
          <w:noProof/>
          <w:sz w:val="23"/>
          <w:szCs w:val="23"/>
        </w:rPr>
        <w:t xml:space="preserve">INTERESSADO(A): LUCÍLIA MARIA DANTAS MARREIROS </w:t>
      </w:r>
      <w:r w:rsidRPr="00231A4E">
        <w:rPr>
          <w:rFonts w:ascii="ZapfHumnst BT" w:hAnsi="ZapfHumnst BT" w:cs="Arial"/>
          <w:noProof/>
          <w:sz w:val="23"/>
          <w:szCs w:val="23"/>
        </w:rPr>
        <w:t>(</w:t>
      </w:r>
      <w:r w:rsidRPr="00231A4E">
        <w:rPr>
          <w:rFonts w:ascii="ZapfHumnst BT" w:hAnsi="ZapfHumnst BT" w:cs="Arial"/>
          <w:sz w:val="23"/>
          <w:szCs w:val="23"/>
        </w:rPr>
        <w:t>CPF nº 160.***.***-**)</w:t>
      </w:r>
      <w:r w:rsidRPr="00231A4E">
        <w:rPr>
          <w:rFonts w:ascii="ZapfHumnst BT" w:hAnsi="ZapfHumnst BT" w:cs="Arial"/>
          <w:bCs/>
          <w:sz w:val="23"/>
          <w:szCs w:val="23"/>
        </w:rPr>
        <w:t>, ocupante do cargo de Enfermeiro, classe III, padrão “E”, matrícula n° 0400840, do quadro de pessoal da Secretaria de Saúde do Estado do Piauí (SESAPI)</w:t>
      </w:r>
      <w:r w:rsidRPr="00231A4E">
        <w:rPr>
          <w:rFonts w:ascii="ZapfHumnst BT" w:hAnsi="ZapfHumnst BT" w:cs="Arial"/>
          <w:bCs/>
          <w:noProof/>
          <w:sz w:val="23"/>
          <w:szCs w:val="23"/>
        </w:rPr>
        <w:t xml:space="preserve">. </w:t>
      </w:r>
      <w:r w:rsidRPr="00231A4E">
        <w:rPr>
          <w:rFonts w:ascii="ZapfHumnst BT" w:hAnsi="ZapfHumnst BT" w:cs="Arial"/>
          <w:sz w:val="23"/>
          <w:szCs w:val="23"/>
        </w:rPr>
        <w:t xml:space="preserve">Vistos, relatados e discutidos os presentes autos, considerando o Relatório da Divisão de Fiscalização de Aposentadorias, Reformas e Pensões – DFPESSOAL </w:t>
      </w:r>
      <w:proofErr w:type="gramStart"/>
      <w:r w:rsidRPr="00231A4E">
        <w:rPr>
          <w:rFonts w:ascii="ZapfHumnst BT" w:hAnsi="ZapfHumnst BT" w:cs="Arial"/>
          <w:sz w:val="23"/>
          <w:szCs w:val="23"/>
        </w:rPr>
        <w:t>3</w:t>
      </w:r>
      <w:proofErr w:type="gramEnd"/>
      <w:r w:rsidRPr="00231A4E">
        <w:rPr>
          <w:rFonts w:ascii="ZapfHumnst BT" w:hAnsi="ZapfHumnst BT" w:cs="Arial"/>
          <w:sz w:val="23"/>
          <w:szCs w:val="23"/>
        </w:rPr>
        <w:t xml:space="preserve"> (peça 4), a Decisão Monocrática nº 205/2024-GJV (peça 6), o Relatório Complementar da Divisão de Fiscalização de Aposentadorias, Reformas e Pensões – DFPESSOAL 3 (peça 11), os pareceres do Ministério Público de Contas-MPC (peças 5 e 12), </w:t>
      </w:r>
      <w:r w:rsidRPr="00231A4E">
        <w:rPr>
          <w:rFonts w:ascii="ZapfHumnst BT" w:hAnsi="ZapfHumnst BT"/>
          <w:sz w:val="23"/>
          <w:szCs w:val="23"/>
        </w:rPr>
        <w:t xml:space="preserve">e o mais que dos autos consta, decidiu a 1ª Câmara, unânime, conforme </w:t>
      </w:r>
      <w:r w:rsidRPr="00231A4E">
        <w:rPr>
          <w:rFonts w:ascii="ZapfHumnst BT" w:hAnsi="ZapfHumnst BT" w:cs="Arial"/>
          <w:sz w:val="23"/>
          <w:szCs w:val="23"/>
        </w:rPr>
        <w:t xml:space="preserve">e pelos fundamentos expostos no voto do Relator </w:t>
      </w:r>
      <w:r w:rsidRPr="00231A4E">
        <w:rPr>
          <w:rFonts w:ascii="ZapfHumnst BT" w:hAnsi="ZapfHumnst BT"/>
          <w:sz w:val="23"/>
          <w:szCs w:val="23"/>
        </w:rPr>
        <w:t>(peça 17), nos seguintes termos:</w:t>
      </w:r>
      <w:r w:rsidRPr="00231A4E">
        <w:rPr>
          <w:rFonts w:ascii="ZapfHumnst BT" w:hAnsi="ZapfHumnst BT"/>
          <w:sz w:val="23"/>
          <w:szCs w:val="23"/>
        </w:rPr>
        <w:t xml:space="preserve"> a) </w:t>
      </w:r>
      <w:r w:rsidRPr="00231A4E">
        <w:rPr>
          <w:rFonts w:ascii="ZapfHumnst BT" w:hAnsi="ZapfHumnst BT" w:cs="Arial"/>
          <w:i/>
          <w:iCs/>
          <w:sz w:val="23"/>
          <w:szCs w:val="23"/>
        </w:rPr>
        <w:t>pelo</w:t>
      </w:r>
      <w:r w:rsidRPr="00231A4E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REGISTRO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do ato concessório da aposentadoria, acompanhando o entendimento da DFPESSOAL (peça 11) e em consonância com o entendimento do Acórdão nº 401/2022 – SPL.</w:t>
      </w:r>
    </w:p>
    <w:p w14:paraId="156EE819" w14:textId="77777777" w:rsidR="00445D4B" w:rsidRPr="00231A4E" w:rsidRDefault="00445D4B" w:rsidP="00445D4B">
      <w:pPr>
        <w:spacing w:line="30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</w:p>
    <w:p w14:paraId="5ACAB28A" w14:textId="670428D7" w:rsidR="00445D4B" w:rsidRPr="00231A4E" w:rsidRDefault="00445D4B" w:rsidP="00445D4B">
      <w:pPr>
        <w:spacing w:line="30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  <w:r w:rsidRPr="00231A4E">
        <w:rPr>
          <w:rFonts w:ascii="ZapfHumnst BT" w:hAnsi="ZapfHumnst BT" w:cs="Arial"/>
          <w:sz w:val="23"/>
          <w:szCs w:val="23"/>
        </w:rPr>
        <w:t>EXTRATO DE JULGAMENTO Nº 167/2026.</w:t>
      </w:r>
      <w:r w:rsidRPr="00231A4E">
        <w:rPr>
          <w:rFonts w:ascii="ZapfHumnst BT" w:hAnsi="ZapfHumnst BT" w:cs="Arial"/>
          <w:b/>
          <w:sz w:val="23"/>
          <w:szCs w:val="23"/>
        </w:rPr>
        <w:t xml:space="preserve"> </w:t>
      </w:r>
      <w:r w:rsidRPr="00231A4E">
        <w:rPr>
          <w:rFonts w:ascii="ZapfHumnst BT" w:hAnsi="ZapfHumnst BT" w:cs="Arial"/>
          <w:b/>
          <w:noProof/>
          <w:sz w:val="23"/>
          <w:szCs w:val="23"/>
        </w:rPr>
        <w:t>TC/013347/2025 – DENÚNCIA CONTRA A FUNDAÇÃO MUNICIPAL DE SAÚDE DE TERESINA-FMS (EXERCÍCIO FINANCEIRO DE 2025)</w:t>
      </w:r>
      <w:r w:rsidRPr="00231A4E">
        <w:rPr>
          <w:rFonts w:ascii="ZapfHumnst BT" w:hAnsi="ZapfHumnst BT" w:cs="Arial"/>
          <w:sz w:val="23"/>
          <w:szCs w:val="23"/>
        </w:rPr>
        <w:t>. Objeto:</w:t>
      </w:r>
      <w:r w:rsidRPr="00231A4E">
        <w:rPr>
          <w:rFonts w:ascii="ZapfHumnst BT" w:hAnsi="ZapfHumnst BT"/>
          <w:sz w:val="23"/>
          <w:szCs w:val="23"/>
        </w:rPr>
        <w:t xml:space="preserve"> supostas irregularidades ocorridas no âmbito do Pregão Eletrônico nº 90025/2025.</w:t>
      </w:r>
      <w:r w:rsidRPr="00231A4E">
        <w:rPr>
          <w:rFonts w:ascii="ZapfHumnst BT" w:hAnsi="ZapfHumnst BT" w:cs="Arial"/>
          <w:sz w:val="23"/>
          <w:szCs w:val="23"/>
        </w:rPr>
        <w:t xml:space="preserve"> Denunciado(s): Leopoldina Cipriano Feitosa – Presidente da FMS; e Rosa Maria Braga Andrade Dantas – Pregoeira da CPL. Advogado(s) da(s) Denunciada(s): </w:t>
      </w:r>
      <w:proofErr w:type="gramStart"/>
      <w:r w:rsidRPr="00231A4E">
        <w:rPr>
          <w:rFonts w:ascii="ZapfHumnst BT" w:hAnsi="ZapfHumnst BT" w:cs="Arial"/>
          <w:sz w:val="23"/>
          <w:szCs w:val="23"/>
        </w:rPr>
        <w:t>Válber de Assunção Melo</w:t>
      </w:r>
      <w:proofErr w:type="gramEnd"/>
      <w:r w:rsidRPr="00231A4E">
        <w:rPr>
          <w:rFonts w:ascii="ZapfHumnst BT" w:hAnsi="ZapfHumnst BT" w:cs="Arial"/>
          <w:sz w:val="23"/>
          <w:szCs w:val="23"/>
        </w:rPr>
        <w:t xml:space="preserve"> (OAB/PI nº 1.934/89) e </w:t>
      </w:r>
      <w:r w:rsidRPr="00231A4E">
        <w:rPr>
          <w:rFonts w:ascii="ZapfHumnst BT" w:hAnsi="ZapfHumnst BT" w:cs="Arial"/>
          <w:i/>
          <w:iCs/>
          <w:sz w:val="23"/>
          <w:szCs w:val="23"/>
        </w:rPr>
        <w:t>outro</w:t>
      </w:r>
      <w:r w:rsidRPr="00231A4E">
        <w:rPr>
          <w:rFonts w:ascii="ZapfHumnst BT" w:hAnsi="ZapfHumnst BT" w:cs="Arial"/>
          <w:sz w:val="23"/>
          <w:szCs w:val="23"/>
        </w:rPr>
        <w:t xml:space="preserve"> – (Procuração: Rosa Maria Braga Andrade Dantas – Pregoeira da CPL – fl. 1 da peça 36.2). Denunciante(s): empresa LABINBRAZ COMERCIAL LTDA (CNPJ nº 73.008.682/0001-52). </w:t>
      </w:r>
      <w:bookmarkStart w:id="2" w:name="_Hlk209508434"/>
      <w:r w:rsidRPr="00231A4E">
        <w:rPr>
          <w:rFonts w:ascii="ZapfHumnst BT" w:hAnsi="ZapfHumnst BT" w:cs="Arial"/>
          <w:sz w:val="23"/>
          <w:szCs w:val="23"/>
        </w:rPr>
        <w:t xml:space="preserve">Advogado(s) do(s) Denunciante(s): Gustavo Felizardo Silva (OAB/SP nº 408.635) – (Procuração: empresa LABINBRAZ COMERCIAL LTDA – fl. 1 da peça 13). </w:t>
      </w:r>
      <w:bookmarkEnd w:id="2"/>
      <w:r w:rsidRPr="00231A4E">
        <w:rPr>
          <w:rFonts w:ascii="ZapfHumnst BT" w:hAnsi="ZapfHumnst BT" w:cs="Arial"/>
          <w:sz w:val="23"/>
          <w:szCs w:val="23"/>
        </w:rPr>
        <w:t>Vistos, relatados e discutidos os presentes autos, considerando o Relatório de Contraditório da Diretoria de Fiscalização de Licitações e Contratações – DFCONTRATOS (peça 39), o parecer do Ministério Público de Contas (peça 42), e o mais que dos autos consta, decidiu a 1ª Câmara, unânime, conforme e pelos fundamentos expostos no voto do Relator (peça 47), nos seguintes termos:</w:t>
      </w:r>
      <w:r w:rsidRPr="00231A4E">
        <w:rPr>
          <w:rFonts w:ascii="ZapfHumnst BT" w:hAnsi="ZapfHumnst BT" w:cs="Arial"/>
          <w:sz w:val="23"/>
          <w:szCs w:val="23"/>
        </w:rPr>
        <w:t xml:space="preserve"> a) </w:t>
      </w:r>
      <w:r w:rsidRPr="00231A4E">
        <w:rPr>
          <w:rFonts w:ascii="ZapfHumnst BT" w:hAnsi="ZapfHumnst BT" w:cs="Arial"/>
          <w:i/>
          <w:iCs/>
          <w:sz w:val="23"/>
          <w:szCs w:val="23"/>
        </w:rPr>
        <w:t>pela</w:t>
      </w:r>
      <w:r w:rsidRPr="00231A4E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PROCEDÊNCIA PARCIAL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da</w:t>
      </w:r>
      <w:r w:rsidRPr="00231A4E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Denúncia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, em razão da irregularidade constante no subitem 3.1 do parecer ministerial, qual </w:t>
      </w:r>
      <w:proofErr w:type="gramStart"/>
      <w:r w:rsidRPr="00231A4E">
        <w:rPr>
          <w:rFonts w:ascii="ZapfHumnst BT" w:hAnsi="ZapfHumnst BT" w:cs="Arial"/>
          <w:i/>
          <w:iCs/>
          <w:sz w:val="23"/>
          <w:szCs w:val="23"/>
        </w:rPr>
        <w:t>seja,</w:t>
      </w:r>
      <w:proofErr w:type="gramEnd"/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ausência de realização de diligência saneadora, conforme preceitua o art. 64 da Lei nº 14.133/2021.</w:t>
      </w:r>
    </w:p>
    <w:p w14:paraId="259FB1A0" w14:textId="77777777" w:rsidR="00445D4B" w:rsidRPr="00231A4E" w:rsidRDefault="00445D4B" w:rsidP="00445D4B">
      <w:pPr>
        <w:spacing w:line="30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</w:p>
    <w:p w14:paraId="7A6E18B8" w14:textId="5CB43496" w:rsidR="00445D4B" w:rsidRPr="00231A4E" w:rsidRDefault="00445D4B" w:rsidP="00445D4B">
      <w:pPr>
        <w:spacing w:line="300" w:lineRule="exact"/>
        <w:jc w:val="both"/>
        <w:rPr>
          <w:rFonts w:ascii="ZapfHumnst BT" w:hAnsi="ZapfHumnst BT" w:cs="Arial"/>
          <w:b/>
          <w:i/>
          <w:iCs/>
          <w:sz w:val="23"/>
          <w:szCs w:val="23"/>
        </w:rPr>
      </w:pPr>
      <w:r w:rsidRPr="00231A4E">
        <w:rPr>
          <w:rFonts w:ascii="ZapfHumnst BT" w:hAnsi="ZapfHumnst BT" w:cs="Arial"/>
          <w:sz w:val="23"/>
          <w:szCs w:val="23"/>
        </w:rPr>
        <w:t>EXTRATO DE JULGAMENTO Nº 167/2026.</w:t>
      </w:r>
      <w:r w:rsidRPr="00231A4E">
        <w:rPr>
          <w:rFonts w:ascii="ZapfHumnst BT" w:hAnsi="ZapfHumnst BT" w:cs="Arial"/>
          <w:b/>
          <w:sz w:val="23"/>
          <w:szCs w:val="23"/>
        </w:rPr>
        <w:t xml:space="preserve"> </w:t>
      </w:r>
      <w:r w:rsidRPr="00231A4E">
        <w:rPr>
          <w:rFonts w:ascii="ZapfHumnst BT" w:hAnsi="ZapfHumnst BT" w:cs="Arial"/>
          <w:b/>
          <w:noProof/>
          <w:sz w:val="23"/>
          <w:szCs w:val="23"/>
        </w:rPr>
        <w:t>TC/014905/2025 – AUDITORIA NO MUNICÍPIO DE TERESINA, FUNDAÇÃO MUNICIPAL DE SAÚDE DE TERESINA-FMS E HOSPITAL DE URGÊNCIA DE TERESINA PROF. ZENON ROCHA-HUT (EXERCÍCIO FINANCEIRO DE 2025)</w:t>
      </w:r>
      <w:r w:rsidRPr="00231A4E">
        <w:rPr>
          <w:rFonts w:ascii="ZapfHumnst BT" w:hAnsi="ZapfHumnst BT" w:cs="Arial"/>
          <w:sz w:val="23"/>
          <w:szCs w:val="23"/>
        </w:rPr>
        <w:t xml:space="preserve">. Objeto: auditoria para avaliação de </w:t>
      </w:r>
      <w:proofErr w:type="spellStart"/>
      <w:r w:rsidRPr="00231A4E">
        <w:rPr>
          <w:rFonts w:ascii="ZapfHumnst BT" w:hAnsi="ZapfHumnst BT" w:cs="Arial"/>
          <w:sz w:val="23"/>
          <w:szCs w:val="23"/>
        </w:rPr>
        <w:t>contratualização</w:t>
      </w:r>
      <w:proofErr w:type="spellEnd"/>
      <w:r w:rsidRPr="00231A4E">
        <w:rPr>
          <w:rFonts w:ascii="ZapfHumnst BT" w:hAnsi="ZapfHumnst BT" w:cs="Arial"/>
          <w:sz w:val="23"/>
          <w:szCs w:val="23"/>
        </w:rPr>
        <w:t xml:space="preserve"> de serviços hospitalares do Hospital de Urgência de Teresina "Professor Zenon Rocha” (HUT) com a Fundação Municipal de Saúde (FMS)</w:t>
      </w:r>
      <w:r w:rsidRPr="00231A4E">
        <w:rPr>
          <w:rFonts w:ascii="ZapfHumnst BT" w:hAnsi="ZapfHumnst BT"/>
          <w:sz w:val="23"/>
          <w:szCs w:val="23"/>
        </w:rPr>
        <w:t xml:space="preserve">. </w:t>
      </w:r>
      <w:proofErr w:type="gramStart"/>
      <w:r w:rsidRPr="00231A4E">
        <w:rPr>
          <w:rFonts w:ascii="ZapfHumnst BT" w:hAnsi="ZapfHumnst BT" w:cs="Arial"/>
          <w:sz w:val="23"/>
          <w:szCs w:val="23"/>
        </w:rPr>
        <w:t>Responsável(</w:t>
      </w:r>
      <w:proofErr w:type="spellStart"/>
      <w:proofErr w:type="gramEnd"/>
      <w:r w:rsidRPr="00231A4E">
        <w:rPr>
          <w:rFonts w:ascii="ZapfHumnst BT" w:hAnsi="ZapfHumnst BT" w:cs="Arial"/>
          <w:sz w:val="23"/>
          <w:szCs w:val="23"/>
        </w:rPr>
        <w:t>is</w:t>
      </w:r>
      <w:proofErr w:type="spellEnd"/>
      <w:r w:rsidRPr="00231A4E">
        <w:rPr>
          <w:rFonts w:ascii="ZapfHumnst BT" w:hAnsi="ZapfHumnst BT" w:cs="Arial"/>
          <w:sz w:val="23"/>
          <w:szCs w:val="23"/>
        </w:rPr>
        <w:t xml:space="preserve">): Sílvio Mendes de Oliveira Filho – Prefeito Municipal; Leopoldina Cipriano Feitosa – Presidente da FMS; e </w:t>
      </w:r>
      <w:proofErr w:type="spellStart"/>
      <w:r w:rsidRPr="00231A4E">
        <w:rPr>
          <w:rFonts w:ascii="ZapfHumnst BT" w:hAnsi="ZapfHumnst BT" w:cs="Arial"/>
          <w:sz w:val="23"/>
          <w:szCs w:val="23"/>
        </w:rPr>
        <w:t>Aranucha</w:t>
      </w:r>
      <w:proofErr w:type="spellEnd"/>
      <w:r w:rsidRPr="00231A4E">
        <w:rPr>
          <w:rFonts w:ascii="ZapfHumnst BT" w:hAnsi="ZapfHumnst BT" w:cs="Arial"/>
          <w:sz w:val="23"/>
          <w:szCs w:val="23"/>
        </w:rPr>
        <w:t xml:space="preserve"> de Brito Lima Oliveira – Diretora Geral do HUT. Vistos, relatados e discutidos os presentes autos, considerando o Relatório Preliminar da Diretoria de Fiscalização de Políticas Públicas/Divisão de Fiscalização da Saúde – DFPP/DFPP </w:t>
      </w:r>
      <w:proofErr w:type="gramStart"/>
      <w:r w:rsidRPr="00231A4E">
        <w:rPr>
          <w:rFonts w:ascii="ZapfHumnst BT" w:hAnsi="ZapfHumnst BT" w:cs="Arial"/>
          <w:sz w:val="23"/>
          <w:szCs w:val="23"/>
        </w:rPr>
        <w:t>2</w:t>
      </w:r>
      <w:proofErr w:type="gramEnd"/>
      <w:r w:rsidRPr="00231A4E">
        <w:rPr>
          <w:rFonts w:ascii="ZapfHumnst BT" w:hAnsi="ZapfHumnst BT" w:cs="Arial"/>
          <w:sz w:val="23"/>
          <w:szCs w:val="23"/>
        </w:rPr>
        <w:t xml:space="preserve"> (peça 8), o parecer do Ministério Público de Contas (peça 11), e o mais que dos autos consta, decidiu a 1ª Câmara, unânime, conforme e pelos fundamentos expostos no voto do Relator (peça 16), nos seguintes termos:</w:t>
      </w:r>
      <w:r w:rsidRPr="00231A4E">
        <w:rPr>
          <w:rFonts w:ascii="ZapfHumnst BT" w:hAnsi="ZapfHumnst BT" w:cs="Arial"/>
          <w:sz w:val="23"/>
          <w:szCs w:val="23"/>
        </w:rPr>
        <w:t xml:space="preserve"> 1. </w:t>
      </w:r>
      <w:proofErr w:type="gramStart"/>
      <w:r w:rsidRPr="00231A4E">
        <w:rPr>
          <w:rFonts w:ascii="ZapfHumnst BT" w:hAnsi="ZapfHumnst BT" w:cs="Arial"/>
          <w:i/>
          <w:iCs/>
          <w:sz w:val="23"/>
          <w:szCs w:val="23"/>
        </w:rPr>
        <w:t>pelo</w:t>
      </w:r>
      <w:proofErr w:type="gramEnd"/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acolhimento das proposições emanadas pela divisão </w:t>
      </w:r>
      <w:r w:rsidRPr="00231A4E">
        <w:rPr>
          <w:rFonts w:ascii="ZapfHumnst BT" w:hAnsi="ZapfHumnst BT" w:cs="Arial"/>
          <w:i/>
          <w:iCs/>
          <w:sz w:val="23"/>
          <w:szCs w:val="23"/>
        </w:rPr>
        <w:lastRenderedPageBreak/>
        <w:t>especializada constantes no item 4 (fls. 51 a 59 da peça 8), quais sejam: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1.1. </w:t>
      </w:r>
      <w:r w:rsidRPr="00231A4E">
        <w:rPr>
          <w:rFonts w:ascii="ZapfHumnst BT" w:hAnsi="ZapfHumnst BT" w:cs="Arial"/>
          <w:i/>
          <w:iCs/>
          <w:sz w:val="23"/>
          <w:szCs w:val="23"/>
        </w:rPr>
        <w:t>Quanto ao eixo de Auditoria de Governança e Contrato de Gestão: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1.1.1. </w:t>
      </w:r>
      <w:r w:rsidRPr="00231A4E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Determinar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no prazo de 60 dias que a Fundação Municipal de Saúde (FMS) elabore um diagnóstico técnico, demográfico e epidemiológico atualizado para reformular o Perfil Assistencial do HUT e atualizar a Programação Pactuada Integrada (PPI) — atualmente obsoleta e datada de 2009 —, conforme o disposto no Art. 4º do Anexo XXIV e Art. 5º, inciso II, do Anexo </w:t>
      </w:r>
      <w:proofErr w:type="gramStart"/>
      <w:r w:rsidRPr="00231A4E">
        <w:rPr>
          <w:rFonts w:ascii="ZapfHumnst BT" w:hAnsi="ZapfHumnst BT" w:cs="Arial"/>
          <w:i/>
          <w:iCs/>
          <w:sz w:val="23"/>
          <w:szCs w:val="23"/>
        </w:rPr>
        <w:t>2</w:t>
      </w:r>
      <w:proofErr w:type="gramEnd"/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do Anexo XXIV da Portaria de Consolidação MS nº 2/2017.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Pr="00231A4E">
        <w:rPr>
          <w:rFonts w:ascii="ZapfHumnst BT" w:hAnsi="ZapfHumnst BT" w:cs="Arial"/>
          <w:i/>
          <w:iCs/>
          <w:sz w:val="23"/>
          <w:szCs w:val="23"/>
        </w:rPr>
        <w:t>1.1.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2. </w:t>
      </w:r>
      <w:r w:rsidRPr="00231A4E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Determinar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no prazo de 30 dias que a FMS e a diretoria do HUT corrijam as inconsistências do Documento Descritivo do Contrato de Gestão nº 002/2024, ajustando as metas físicas e o financiamento da orçamentação global à capacidade operacional real comprovada de 320 leitos, regularizando os 55 leitos inoperantes registrados no CNES, em observância ao princípio constitucional da eficiência e ao Art. 20 do Anexo </w:t>
      </w:r>
      <w:proofErr w:type="gramStart"/>
      <w:r w:rsidRPr="00231A4E">
        <w:rPr>
          <w:rFonts w:ascii="ZapfHumnst BT" w:hAnsi="ZapfHumnst BT" w:cs="Arial"/>
          <w:i/>
          <w:iCs/>
          <w:sz w:val="23"/>
          <w:szCs w:val="23"/>
        </w:rPr>
        <w:t>2</w:t>
      </w:r>
      <w:proofErr w:type="gramEnd"/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do Anexo XXIV da Portaria de Consolidação MS nº 2/2017;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Pr="00231A4E">
        <w:rPr>
          <w:rFonts w:ascii="ZapfHumnst BT" w:hAnsi="ZapfHumnst BT" w:cs="Arial"/>
          <w:i/>
          <w:iCs/>
          <w:sz w:val="23"/>
          <w:szCs w:val="23"/>
        </w:rPr>
        <w:t>1.1.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3. </w:t>
      </w:r>
      <w:r w:rsidRPr="00231A4E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Determinar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no prazo de 30 dias que a FMS reestruture e capacite a Comissão de Acompanhamento da </w:t>
      </w:r>
      <w:proofErr w:type="spellStart"/>
      <w:r w:rsidRPr="00231A4E">
        <w:rPr>
          <w:rFonts w:ascii="ZapfHumnst BT" w:hAnsi="ZapfHumnst BT" w:cs="Arial"/>
          <w:i/>
          <w:iCs/>
          <w:sz w:val="23"/>
          <w:szCs w:val="23"/>
        </w:rPr>
        <w:t>Contratualização</w:t>
      </w:r>
      <w:proofErr w:type="spellEnd"/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(CAC), garantindo a substituição de membros com incompatibilidade de funções e assegurando a segregação de deveres para evitar conflitos de interesse na avaliação da própria gestão, conforme exigido pelo Art. 32 do Anexo </w:t>
      </w:r>
      <w:proofErr w:type="gramStart"/>
      <w:r w:rsidRPr="00231A4E">
        <w:rPr>
          <w:rFonts w:ascii="ZapfHumnst BT" w:hAnsi="ZapfHumnst BT" w:cs="Arial"/>
          <w:i/>
          <w:iCs/>
          <w:sz w:val="23"/>
          <w:szCs w:val="23"/>
        </w:rPr>
        <w:t>2</w:t>
      </w:r>
      <w:proofErr w:type="gramEnd"/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do Anexo XXIV da Portaria de Consolidação MS nº 2/2017 e pela Cláusula Décima Oitava do Contrato de Gestão nº 002/2024;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Pr="00231A4E">
        <w:rPr>
          <w:rFonts w:ascii="ZapfHumnst BT" w:hAnsi="ZapfHumnst BT" w:cs="Arial"/>
          <w:i/>
          <w:iCs/>
          <w:sz w:val="23"/>
          <w:szCs w:val="23"/>
        </w:rPr>
        <w:t>1.1.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4. </w:t>
      </w:r>
      <w:r w:rsidRPr="00231A4E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Determinar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no prazo de 30 dias que o HUT institua processos contínuos de divulgação de indicadores de desempenho, execução orçamentária e cumprimento de metas assistenciais em portais de acesso público, garantindo a transparência na aplicação dos recursos e o controle social, conforme o Art. 6º, inciso XII, do Anexo XXIV da Portaria de Consolidação MS nº 2/2017 e o Art. 37 da Constituição Federal;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Pr="00231A4E">
        <w:rPr>
          <w:rFonts w:ascii="ZapfHumnst BT" w:hAnsi="ZapfHumnst BT" w:cs="Arial"/>
          <w:i/>
          <w:iCs/>
          <w:sz w:val="23"/>
          <w:szCs w:val="23"/>
        </w:rPr>
        <w:t>1.1.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5. </w:t>
      </w:r>
      <w:r w:rsidRPr="00231A4E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Determinar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no prazo de 90 dias que a FMS estabeleça e formalize protocolos operacionais de referência e </w:t>
      </w:r>
      <w:proofErr w:type="spellStart"/>
      <w:r w:rsidRPr="00231A4E">
        <w:rPr>
          <w:rFonts w:ascii="ZapfHumnst BT" w:hAnsi="ZapfHumnst BT" w:cs="Arial"/>
          <w:i/>
          <w:iCs/>
          <w:sz w:val="23"/>
          <w:szCs w:val="23"/>
        </w:rPr>
        <w:t>contrarreferência</w:t>
      </w:r>
      <w:proofErr w:type="spellEnd"/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assistencial entre o HUT e a rede municipal, visando desonerar o hospital terciário de demandas de média complexidade, conforme o Art. 5º, inciso VI, alíneas “a” e “b”, do Anexo </w:t>
      </w:r>
      <w:proofErr w:type="gramStart"/>
      <w:r w:rsidRPr="00231A4E">
        <w:rPr>
          <w:rFonts w:ascii="ZapfHumnst BT" w:hAnsi="ZapfHumnst BT" w:cs="Arial"/>
          <w:i/>
          <w:iCs/>
          <w:sz w:val="23"/>
          <w:szCs w:val="23"/>
        </w:rPr>
        <w:t>2</w:t>
      </w:r>
      <w:proofErr w:type="gramEnd"/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do Anexo XXIV da Portaria de Consolidação MS nº 2/2017 e a Cláusula Décima Primeira, itens IV e V, do Contrato de Gestão nº 002/2024;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>1.1.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6. </w:t>
      </w:r>
      <w:r w:rsidRPr="00231A4E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Recomendar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ao HUT que intensifique a divulgação dos canais de denúncia e ouvidoria em todas as unidades de internação, garantindo um fluxo eficaz de apuração e resposta tempestiva às manifestações dos usuários, visando reduzir a cultura de subnotificação e fortalecer o modelo de atenção centrado no usuário previsto na PNHOSP.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>1.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>2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>.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Pr="00231A4E">
        <w:rPr>
          <w:rFonts w:ascii="ZapfHumnst BT" w:hAnsi="ZapfHumnst BT" w:cs="Arial"/>
          <w:i/>
          <w:iCs/>
          <w:sz w:val="23"/>
          <w:szCs w:val="23"/>
        </w:rPr>
        <w:t>Quanto ao Eixo de Auditoria de Financiamento e Execução Orçamentária: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>1.2.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1. </w:t>
      </w:r>
      <w:r w:rsidRPr="00231A4E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Determinar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no prazo de 60 dias que a direção do HUT institua um sistema formal e efetivo de contabilidade por centros de custos, garantindo a identificação do custo real de procedimentos e internações, conforme o disposto no Art. 10, inciso VI, do Anexo </w:t>
      </w:r>
      <w:proofErr w:type="gramStart"/>
      <w:r w:rsidRPr="00231A4E">
        <w:rPr>
          <w:rFonts w:ascii="ZapfHumnst BT" w:hAnsi="ZapfHumnst BT" w:cs="Arial"/>
          <w:i/>
          <w:iCs/>
          <w:sz w:val="23"/>
          <w:szCs w:val="23"/>
        </w:rPr>
        <w:t>2</w:t>
      </w:r>
      <w:proofErr w:type="gramEnd"/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do Anexo XXIV da Portaria de Consolidação MS nº 2/2017 e no Art. 37 da Constituição Federal (Princípio da Eficiência);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>1.2.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2. </w:t>
      </w:r>
      <w:r w:rsidRPr="00231A4E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Determinar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no prazo de 60 dias que a Fundação Municipal de Saúde (FMS) e o HUT realizem estudos técnicos e pesquisas de mercado regional para substituir a atual metodologia de orçamentação baseada em séries históricas acríticas por parâmetros de custos reais vigentes, conforme exigido pelo Art. 20, inciso IV, do Anexo </w:t>
      </w:r>
      <w:proofErr w:type="gramStart"/>
      <w:r w:rsidRPr="00231A4E">
        <w:rPr>
          <w:rFonts w:ascii="ZapfHumnst BT" w:hAnsi="ZapfHumnst BT" w:cs="Arial"/>
          <w:i/>
          <w:iCs/>
          <w:sz w:val="23"/>
          <w:szCs w:val="23"/>
        </w:rPr>
        <w:t>2</w:t>
      </w:r>
      <w:proofErr w:type="gramEnd"/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do Anexo XXIV da Portaria de Consolidação MS nº 2/2017;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>1.2.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3. </w:t>
      </w:r>
      <w:r w:rsidRPr="00231A4E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Determinar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no prazo de 30 dias que a FMS </w:t>
      </w:r>
      <w:proofErr w:type="gramStart"/>
      <w:r w:rsidRPr="00231A4E">
        <w:rPr>
          <w:rFonts w:ascii="ZapfHumnst BT" w:hAnsi="ZapfHumnst BT" w:cs="Arial"/>
          <w:i/>
          <w:iCs/>
          <w:sz w:val="23"/>
          <w:szCs w:val="23"/>
        </w:rPr>
        <w:t>implemente</w:t>
      </w:r>
      <w:proofErr w:type="gramEnd"/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mecanismos concretos de descentralização administrativa e financeira, definindo fluxos que assegurem ao HUT a execução direta de seus recursos orçamentários, em </w:t>
      </w:r>
      <w:r w:rsidRPr="00231A4E">
        <w:rPr>
          <w:rFonts w:ascii="ZapfHumnst BT" w:hAnsi="ZapfHumnst BT" w:cs="Arial"/>
          <w:i/>
          <w:iCs/>
          <w:sz w:val="23"/>
          <w:szCs w:val="23"/>
        </w:rPr>
        <w:lastRenderedPageBreak/>
        <w:t xml:space="preserve">observância ao Art. 37, § 8º, da Constituição Federal e à finalidade da </w:t>
      </w:r>
      <w:proofErr w:type="spellStart"/>
      <w:r w:rsidRPr="00231A4E">
        <w:rPr>
          <w:rFonts w:ascii="ZapfHumnst BT" w:hAnsi="ZapfHumnst BT" w:cs="Arial"/>
          <w:i/>
          <w:iCs/>
          <w:sz w:val="23"/>
          <w:szCs w:val="23"/>
        </w:rPr>
        <w:t>contratualização</w:t>
      </w:r>
      <w:proofErr w:type="spellEnd"/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prevista no Art. 21 da Portaria de Consolidação MS nº 2/2017 (Anexo 2 do Anexo XXIV);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 1.2.4. </w:t>
      </w:r>
      <w:r w:rsidRPr="00231A4E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Determinar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no prazo de 30 dias que a FMS e o HUT instituam processos regulares de revisão contratual por meio de Termos Aditivos para o reequilíbrio financeiro e ajuste de metas, sempre que a produção real validada divergir dos parâmetros pactuados, conforme a Cláusula Quarta, item 20, do Contrato de Gestão nº 002/2024 e o Art. 30 do Anexo </w:t>
      </w:r>
      <w:proofErr w:type="gramStart"/>
      <w:r w:rsidRPr="00231A4E">
        <w:rPr>
          <w:rFonts w:ascii="ZapfHumnst BT" w:hAnsi="ZapfHumnst BT" w:cs="Arial"/>
          <w:i/>
          <w:iCs/>
          <w:sz w:val="23"/>
          <w:szCs w:val="23"/>
        </w:rPr>
        <w:t>2</w:t>
      </w:r>
      <w:proofErr w:type="gramEnd"/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do Anexo XXIV da Portaria de Consolidação MS nº 2/2017;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>1.2.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5. </w:t>
      </w:r>
      <w:r w:rsidRPr="00231A4E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Determinar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no prazo de 90 dias que a FMS regularize a programação orçamentária destinada ao HUT para o exercício corrente, reduzindo a dependência sistemática de Despesas de Exercícios Anteriores (DEA) e garantindo a previsibilidade dos pagamentos aos prestadores e fornecedores, em conformidade com o Princípio da Transparência (Art. 6º, XII, do Anexo XXIV da Portaria de Consolidação MS nº 2/2017) e o Art. 14 do referido Anexo </w:t>
      </w:r>
      <w:proofErr w:type="gramStart"/>
      <w:r w:rsidRPr="00231A4E">
        <w:rPr>
          <w:rFonts w:ascii="ZapfHumnst BT" w:hAnsi="ZapfHumnst BT" w:cs="Arial"/>
          <w:i/>
          <w:iCs/>
          <w:sz w:val="23"/>
          <w:szCs w:val="23"/>
        </w:rPr>
        <w:t>2</w:t>
      </w:r>
      <w:proofErr w:type="gramEnd"/>
      <w:r w:rsidRPr="00231A4E">
        <w:rPr>
          <w:rFonts w:ascii="ZapfHumnst BT" w:hAnsi="ZapfHumnst BT" w:cs="Arial"/>
          <w:i/>
          <w:iCs/>
          <w:sz w:val="23"/>
          <w:szCs w:val="23"/>
        </w:rPr>
        <w:t>;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>1.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>3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>.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Pr="00231A4E">
        <w:rPr>
          <w:rFonts w:ascii="ZapfHumnst BT" w:hAnsi="ZapfHumnst BT" w:cs="Arial"/>
          <w:i/>
          <w:iCs/>
          <w:sz w:val="23"/>
          <w:szCs w:val="23"/>
        </w:rPr>
        <w:t>Quanto ao Eixo de Auditoria de Capacidade Instalada, Perfil Assistencial e Rede de Atenção à Saúde: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>1.3.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1. </w:t>
      </w:r>
      <w:r w:rsidRPr="00231A4E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Determinar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no prazo de 60 dias que a Fundação Municipal de Saúde (FMS) institua um plano formal, com cronograma e metas de execução, para a transferência gradual dos atendimentos de menor complexidade (hoje representando 96,15% da produção física de Teresina) para hospitais secundários e para a Atenção Primária, conforme o disposto no Art. 5º, inciso XIII, do Anexo </w:t>
      </w:r>
      <w:proofErr w:type="gramStart"/>
      <w:r w:rsidRPr="00231A4E">
        <w:rPr>
          <w:rFonts w:ascii="ZapfHumnst BT" w:hAnsi="ZapfHumnst BT" w:cs="Arial"/>
          <w:i/>
          <w:iCs/>
          <w:sz w:val="23"/>
          <w:szCs w:val="23"/>
        </w:rPr>
        <w:t>2</w:t>
      </w:r>
      <w:proofErr w:type="gramEnd"/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do Anexo XXIV da Portaria de Consolidação MS nº 2/2017;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>1.3.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2. </w:t>
      </w:r>
      <w:r w:rsidRPr="00231A4E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Determinar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no prazo de 90 dias que o HUT e a FMS estabeleçam protocolos operacionais padronizados de referência e </w:t>
      </w:r>
      <w:proofErr w:type="spellStart"/>
      <w:r w:rsidRPr="00231A4E">
        <w:rPr>
          <w:rFonts w:ascii="ZapfHumnst BT" w:hAnsi="ZapfHumnst BT" w:cs="Arial"/>
          <w:i/>
          <w:iCs/>
          <w:sz w:val="23"/>
          <w:szCs w:val="23"/>
        </w:rPr>
        <w:t>contrarreferência</w:t>
      </w:r>
      <w:proofErr w:type="spellEnd"/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, garantindo a comunicação efetiva entre a unidade terciária e as Unidades Básicas de Saúde (UBS) para a continuidade do cuidado, suprindo a lacuna identificada pela auditoria de ausência de fluxos formais, conforme o Art. 5º, inciso VI, do Anexo </w:t>
      </w:r>
      <w:proofErr w:type="gramStart"/>
      <w:r w:rsidRPr="00231A4E">
        <w:rPr>
          <w:rFonts w:ascii="ZapfHumnst BT" w:hAnsi="ZapfHumnst BT" w:cs="Arial"/>
          <w:i/>
          <w:iCs/>
          <w:sz w:val="23"/>
          <w:szCs w:val="23"/>
        </w:rPr>
        <w:t>2</w:t>
      </w:r>
      <w:proofErr w:type="gramEnd"/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do Anexo XXIV da Portaria de Consolidação MS nº 2/2017 e a Cláusula Décima Primeira, itens IV e V, do Contrato de Gestão nº 002/2024;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>1.3.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3. </w:t>
      </w:r>
      <w:r w:rsidRPr="00231A4E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Determinar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no prazo de 30 dias que a FMS revise o Contrato de Gestão nº 002/2024 para incluir cláusulas específicas e instrumentos de governança compartilhada que obriguem a articulação real do hospital com os demais pontos da rede, superando o atual caráter meramente simbólico do ajuste, conforme as diretrizes do Art. 35 do Anexo XXIV da Portaria de Consolidação MS nº 2/2017;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>1.3.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4. </w:t>
      </w:r>
      <w:r w:rsidRPr="00231A4E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Determinar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no prazo de 30 dias que a direção do HUT </w:t>
      </w:r>
      <w:proofErr w:type="gramStart"/>
      <w:r w:rsidRPr="00231A4E">
        <w:rPr>
          <w:rFonts w:ascii="ZapfHumnst BT" w:hAnsi="ZapfHumnst BT" w:cs="Arial"/>
          <w:i/>
          <w:iCs/>
          <w:sz w:val="23"/>
          <w:szCs w:val="23"/>
        </w:rPr>
        <w:t>implemente</w:t>
      </w:r>
      <w:proofErr w:type="gramEnd"/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o monitoramento rigoroso e ininterrupto de indicadores de segurança, como os erros de medicação (que sofreram vácuo de coleta por 12 meses) e a taxa de ocupação da Sala Verde (frequentemente acima de 100%), garantindo o cumprimento das normas da ANVISA e da PNHOSP, conforme exigido pela RDC nº 36/2013 e pelos Artigos 11 e 12 do Anexo 2 do Anexo XXIV da Portaria de Consolidação MS nº 2/2017;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>1.3.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5. </w:t>
      </w:r>
      <w:r w:rsidRPr="00231A4E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Determinar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no prazo de 60 dias que a FMS finalize a atualização da PPI para incluir formalmente os serviços de urgência e emergência, orientando o perfil assistencial da unidade para a alta complexidade e eliminando o financiamento indevido sobre leitos inoperantes, em observância ao Art. 1º da Portaria MS nº 1.097/2006 e ao Art. 4º do Anexo XXIV da Portaria de Consolidação MS nº 2/2017.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>1.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>4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>.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Pr="00231A4E">
        <w:rPr>
          <w:rFonts w:ascii="ZapfHumnst BT" w:hAnsi="ZapfHumnst BT" w:cs="Arial"/>
          <w:i/>
          <w:iCs/>
          <w:sz w:val="23"/>
          <w:szCs w:val="23"/>
        </w:rPr>
        <w:t>Quanto ao Eixo de Auditoria de Qualidade, Segurança do Paciente e Indicadores: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>1.4.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1. </w:t>
      </w:r>
      <w:r w:rsidRPr="00231A4E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Determinar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no prazo de 30 dias que o Núcleo de Segurança do Paciente (NSP) institua um fluxo ininterrupto de coleta e análise dos indicadores críticos (erros de medicação, quedas e infecções), sanando o vácuo de 12 meses identificado na coleta de dados de </w:t>
      </w:r>
      <w:proofErr w:type="spellStart"/>
      <w:r w:rsidRPr="00231A4E">
        <w:rPr>
          <w:rFonts w:ascii="ZapfHumnst BT" w:hAnsi="ZapfHumnst BT" w:cs="Arial"/>
          <w:i/>
          <w:iCs/>
          <w:sz w:val="23"/>
          <w:szCs w:val="23"/>
        </w:rPr>
        <w:t>farmacovigilância</w:t>
      </w:r>
      <w:proofErr w:type="spellEnd"/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, conforme o Art. 7º, </w:t>
      </w:r>
      <w:r w:rsidRPr="00231A4E">
        <w:rPr>
          <w:rFonts w:ascii="ZapfHumnst BT" w:hAnsi="ZapfHumnst BT" w:cs="Arial"/>
          <w:i/>
          <w:iCs/>
          <w:sz w:val="23"/>
          <w:szCs w:val="23"/>
        </w:rPr>
        <w:lastRenderedPageBreak/>
        <w:t xml:space="preserve">inciso VI e IX, da RDC ANVISA nº 36/2013 e o Art. 11 do Anexo </w:t>
      </w:r>
      <w:proofErr w:type="gramStart"/>
      <w:r w:rsidRPr="00231A4E">
        <w:rPr>
          <w:rFonts w:ascii="ZapfHumnst BT" w:hAnsi="ZapfHumnst BT" w:cs="Arial"/>
          <w:i/>
          <w:iCs/>
          <w:sz w:val="23"/>
          <w:szCs w:val="23"/>
        </w:rPr>
        <w:t>2</w:t>
      </w:r>
      <w:proofErr w:type="gramEnd"/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do Anexo XXIV da Portaria de Consolidação MS nº 2/2017;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>1.4.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2. </w:t>
      </w:r>
      <w:r w:rsidRPr="00231A4E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Determinar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no prazo de 60 dias que a direção do HUT </w:t>
      </w:r>
      <w:proofErr w:type="gramStart"/>
      <w:r w:rsidRPr="00231A4E">
        <w:rPr>
          <w:rFonts w:ascii="ZapfHumnst BT" w:hAnsi="ZapfHumnst BT" w:cs="Arial"/>
          <w:i/>
          <w:iCs/>
          <w:sz w:val="23"/>
          <w:szCs w:val="23"/>
        </w:rPr>
        <w:t>implemente</w:t>
      </w:r>
      <w:proofErr w:type="gramEnd"/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treinamento obrigatório e monitoramento diário da adesão ao </w:t>
      </w:r>
      <w:proofErr w:type="spellStart"/>
      <w:r w:rsidRPr="00231A4E">
        <w:rPr>
          <w:rFonts w:ascii="ZapfHumnst BT" w:hAnsi="ZapfHumnst BT" w:cs="Arial"/>
          <w:i/>
          <w:iCs/>
          <w:sz w:val="23"/>
          <w:szCs w:val="23"/>
        </w:rPr>
        <w:t>Checklist</w:t>
      </w:r>
      <w:proofErr w:type="spellEnd"/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de Cirurgia Segura e aos protocolos de higienização das mãos, conforme a Resolução RDC ANVISA nº 36/2013 e as diretrizes da Política Nacional de Atenção Hospitalar (PNHOSP);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>1.4.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3. </w:t>
      </w:r>
      <w:r w:rsidRPr="00231A4E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Determinar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no prazo de 60 dias que a diretoria técnica do hospital adote obrigatoriamente o escore de alerta precoce (MEWS) em todas as enfermarias e execute as capacitações em Suporte Avançado de Vida, visando reduzir o "fluxo reverso" de 21% de admissões críticas na Sala Vermelha, conforme o Art. 11, § 9º, do Anexo XXIV da Portaria de Consolidação MS nº 2/2017 e as recomendações do Relatório NIR 2025;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>1.4.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4. </w:t>
      </w:r>
      <w:r w:rsidRPr="00231A4E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Determinar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no prazo de 30 dias que a Fundação Municipal de Saúde (FMS) operacionalize a Comissão de Acompanhamento da </w:t>
      </w:r>
      <w:proofErr w:type="spellStart"/>
      <w:r w:rsidRPr="00231A4E">
        <w:rPr>
          <w:rFonts w:ascii="ZapfHumnst BT" w:hAnsi="ZapfHumnst BT" w:cs="Arial"/>
          <w:i/>
          <w:iCs/>
          <w:sz w:val="23"/>
          <w:szCs w:val="23"/>
        </w:rPr>
        <w:t>Contratualização</w:t>
      </w:r>
      <w:proofErr w:type="spellEnd"/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(CAC), garantindo que a avaliação das metas qualitativas fundamente tecnicamente os repasses financeiros e a gestão do ajuste, conforme a Cláusula Décima Oitava do Contrato de Gestão nº 002/2024 e o Art. 32 do Anexo </w:t>
      </w:r>
      <w:proofErr w:type="gramStart"/>
      <w:r w:rsidRPr="00231A4E">
        <w:rPr>
          <w:rFonts w:ascii="ZapfHumnst BT" w:hAnsi="ZapfHumnst BT" w:cs="Arial"/>
          <w:i/>
          <w:iCs/>
          <w:sz w:val="23"/>
          <w:szCs w:val="23"/>
        </w:rPr>
        <w:t>2</w:t>
      </w:r>
      <w:proofErr w:type="gramEnd"/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do Anexo XXIV da Portaria de Consolidação MS nº 2/2017;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>1.4.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5. </w:t>
      </w:r>
      <w:r w:rsidRPr="00231A4E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Determinar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no prazo de 60 dias que o HUT revise suas normas operacionais de visitação e acompanhantes para plena adequação à Portaria GM/MS nº 1.820/2009, garantindo o direito à visita diária e o acesso facilitado à informação clínica, superando restrições não fundamentadas tecnicamente, conforme o Art. 5º, inciso VI e VII, da referida Portaria e o Art. 14 da PNHOSP;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 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>1.4.</w:t>
      </w:r>
      <w:r w:rsidR="00231A4E" w:rsidRPr="00231A4E">
        <w:rPr>
          <w:rFonts w:ascii="ZapfHumnst BT" w:hAnsi="ZapfHumnst BT" w:cs="Arial"/>
          <w:i/>
          <w:iCs/>
          <w:sz w:val="23"/>
          <w:szCs w:val="23"/>
        </w:rPr>
        <w:t xml:space="preserve">6. </w:t>
      </w:r>
      <w:r w:rsidRPr="00231A4E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Determinar</w:t>
      </w:r>
      <w:r w:rsidRPr="00231A4E">
        <w:rPr>
          <w:rFonts w:ascii="ZapfHumnst BT" w:hAnsi="ZapfHumnst BT" w:cs="Arial"/>
          <w:i/>
          <w:iCs/>
          <w:sz w:val="23"/>
          <w:szCs w:val="23"/>
        </w:rPr>
        <w:t xml:space="preserve"> no prazo de 60 dias que o Serviço de Arquivo Médico e Estatística (SAME) reformule os fluxos de acesso ao prontuário, reduzindo o prazo de entrega (atualmente de até 120 dias) para os limites legais, e assegure a legibilidade dos registros, conforme a Lei de Acesso à Informação (Lei nº 12.527/2011) e o Código de Ética Médica.</w:t>
      </w:r>
    </w:p>
    <w:p w14:paraId="7FE178A6" w14:textId="77777777" w:rsidR="002666DF" w:rsidRPr="00231A4E" w:rsidRDefault="002666DF" w:rsidP="009B48F4">
      <w:pPr>
        <w:jc w:val="both"/>
        <w:rPr>
          <w:rFonts w:ascii="ZapfHumnst BT" w:hAnsi="ZapfHumnst BT" w:cs="Arial"/>
          <w:b/>
          <w:i/>
          <w:iCs/>
          <w:sz w:val="23"/>
          <w:szCs w:val="23"/>
        </w:rPr>
      </w:pPr>
    </w:p>
    <w:p w14:paraId="14FC6ACA" w14:textId="34C05A10" w:rsidR="00014D8B" w:rsidRPr="00231A4E" w:rsidRDefault="00014D8B" w:rsidP="009B48F4">
      <w:pPr>
        <w:jc w:val="both"/>
        <w:rPr>
          <w:rFonts w:ascii="ZapfHumnst BT" w:hAnsi="ZapfHumnst BT" w:cs="Arial"/>
          <w:sz w:val="23"/>
          <w:szCs w:val="23"/>
        </w:rPr>
      </w:pPr>
      <w:r w:rsidRPr="00231A4E">
        <w:rPr>
          <w:rFonts w:ascii="ZapfHumnst BT" w:hAnsi="ZapfHumnst BT" w:cs="Arial"/>
          <w:sz w:val="23"/>
          <w:szCs w:val="23"/>
        </w:rPr>
        <w:t xml:space="preserve">Nada mais havendo a tratar, o Sr. Presidente deu por encerrada a Sessão, do que para constar, eu, Jean Carlos Andrade Soares, Chefe da Divisão de Apoio à 1ª Câmara do Tribunal de Contas do Estado do Piauí, lavrei a presente ata, que, depois de lida e aprovada, será assinada pelo(a) </w:t>
      </w:r>
      <w:proofErr w:type="spellStart"/>
      <w:r w:rsidRPr="00231A4E">
        <w:rPr>
          <w:rFonts w:ascii="ZapfHumnst BT" w:hAnsi="ZapfHumnst BT" w:cs="Arial"/>
          <w:sz w:val="23"/>
          <w:szCs w:val="23"/>
        </w:rPr>
        <w:t>Sr</w:t>
      </w:r>
      <w:proofErr w:type="spellEnd"/>
      <w:r w:rsidRPr="00231A4E">
        <w:rPr>
          <w:rFonts w:ascii="ZapfHumnst BT" w:hAnsi="ZapfHumnst BT" w:cs="Arial"/>
          <w:sz w:val="23"/>
          <w:szCs w:val="23"/>
        </w:rPr>
        <w:t>(a). Presidente(a), pelo(s) Conselheiro(s), pelo(a) Procurador(a) e por mim subscrito.</w:t>
      </w:r>
    </w:p>
    <w:p w14:paraId="6946586C" w14:textId="77777777" w:rsidR="00A9084B" w:rsidRDefault="00A9084B" w:rsidP="003A5C20">
      <w:pPr>
        <w:keepNext/>
        <w:spacing w:line="300" w:lineRule="exact"/>
        <w:jc w:val="both"/>
        <w:rPr>
          <w:rFonts w:ascii="ZapfHumnst BT" w:hAnsi="ZapfHumnst BT" w:cs="Arial"/>
          <w:sz w:val="23"/>
          <w:szCs w:val="23"/>
        </w:rPr>
      </w:pPr>
    </w:p>
    <w:p w14:paraId="5E3584C5" w14:textId="77777777" w:rsidR="00AC7B98" w:rsidRPr="00231A4E" w:rsidRDefault="00AC7B98" w:rsidP="003A5C20">
      <w:pPr>
        <w:keepNext/>
        <w:spacing w:line="300" w:lineRule="exact"/>
        <w:jc w:val="both"/>
        <w:rPr>
          <w:rFonts w:ascii="ZapfHumnst BT" w:hAnsi="ZapfHumnst BT" w:cs="Arial"/>
          <w:sz w:val="23"/>
          <w:szCs w:val="23"/>
        </w:rPr>
      </w:pPr>
      <w:r w:rsidRPr="00231A4E">
        <w:rPr>
          <w:rFonts w:ascii="ZapfHumnst BT" w:hAnsi="ZapfHumnst BT" w:cs="Arial"/>
          <w:sz w:val="23"/>
          <w:szCs w:val="23"/>
        </w:rPr>
        <w:t>Cons.ª Rejane Ribeiro Sousa Dias – Presidente</w:t>
      </w:r>
    </w:p>
    <w:p w14:paraId="49878793" w14:textId="77777777" w:rsidR="00F667F2" w:rsidRPr="00231A4E" w:rsidRDefault="00F667F2" w:rsidP="003A5C20">
      <w:pPr>
        <w:keepNext/>
        <w:spacing w:line="300" w:lineRule="exact"/>
        <w:jc w:val="both"/>
        <w:rPr>
          <w:rFonts w:ascii="ZapfHumnst BT" w:eastAsia="Times New Roman" w:hAnsi="ZapfHumnst BT" w:cs="Arial"/>
          <w:sz w:val="23"/>
          <w:szCs w:val="23"/>
        </w:rPr>
      </w:pPr>
      <w:r w:rsidRPr="00231A4E">
        <w:rPr>
          <w:rFonts w:ascii="ZapfHumnst BT" w:eastAsia="Times New Roman" w:hAnsi="ZapfHumnst BT" w:cs="Arial"/>
          <w:sz w:val="23"/>
          <w:szCs w:val="23"/>
        </w:rPr>
        <w:t>Cons. Kleber Dantas Eulálio</w:t>
      </w:r>
    </w:p>
    <w:p w14:paraId="28F089E9" w14:textId="77777777" w:rsidR="00F178DB" w:rsidRPr="00231A4E" w:rsidRDefault="00F178DB" w:rsidP="00F178DB">
      <w:pPr>
        <w:keepNext/>
        <w:spacing w:line="300" w:lineRule="exact"/>
        <w:jc w:val="both"/>
        <w:rPr>
          <w:rFonts w:ascii="ZapfHumnst BT" w:hAnsi="ZapfHumnst BT" w:cs="Arial"/>
          <w:sz w:val="23"/>
          <w:szCs w:val="23"/>
        </w:rPr>
      </w:pPr>
      <w:r w:rsidRPr="00231A4E">
        <w:rPr>
          <w:rFonts w:ascii="ZapfHumnst BT" w:hAnsi="ZapfHumnst BT" w:cs="Arial"/>
          <w:sz w:val="23"/>
          <w:szCs w:val="23"/>
        </w:rPr>
        <w:t>Cons. Substituto Jackson Nobre Veras</w:t>
      </w:r>
    </w:p>
    <w:p w14:paraId="4493BE32" w14:textId="566F886D" w:rsidR="00CC6050" w:rsidRPr="00231A4E" w:rsidRDefault="00CC6050" w:rsidP="003A5C20">
      <w:pPr>
        <w:keepNext/>
        <w:spacing w:line="300" w:lineRule="exact"/>
        <w:jc w:val="both"/>
        <w:rPr>
          <w:rFonts w:ascii="ZapfHumnst BT" w:hAnsi="ZapfHumnst BT" w:cs="Arial"/>
          <w:sz w:val="23"/>
          <w:szCs w:val="23"/>
        </w:rPr>
      </w:pPr>
      <w:r w:rsidRPr="00231A4E">
        <w:rPr>
          <w:rFonts w:ascii="ZapfHumnst BT" w:hAnsi="ZapfHumnst BT" w:cs="Arial"/>
          <w:sz w:val="23"/>
          <w:szCs w:val="23"/>
        </w:rPr>
        <w:t>Cons. Substituto Jaylson Fabianh Lopes Campelo</w:t>
      </w:r>
    </w:p>
    <w:p w14:paraId="453D8ABE" w14:textId="72D27042" w:rsidR="000C6CD2" w:rsidRPr="00231A4E" w:rsidRDefault="00FC71BA" w:rsidP="003A5C20">
      <w:pPr>
        <w:keepNext/>
        <w:spacing w:line="300" w:lineRule="exact"/>
        <w:jc w:val="both"/>
        <w:rPr>
          <w:rFonts w:ascii="ZapfHumnst BT" w:hAnsi="ZapfHumnst BT" w:cs="Arial"/>
          <w:sz w:val="23"/>
          <w:szCs w:val="23"/>
        </w:rPr>
      </w:pPr>
      <w:r w:rsidRPr="00231A4E">
        <w:rPr>
          <w:rFonts w:ascii="ZapfHumnst BT" w:hAnsi="ZapfHumnst BT" w:cs="Arial"/>
          <w:sz w:val="23"/>
          <w:szCs w:val="23"/>
        </w:rPr>
        <w:t>Procuradora Raïssa Maria Rezende de Deus Barbosa</w:t>
      </w:r>
      <w:r w:rsidR="00681739" w:rsidRPr="00231A4E">
        <w:rPr>
          <w:rFonts w:ascii="ZapfHumnst BT" w:hAnsi="ZapfHumnst BT" w:cs="Arial"/>
          <w:sz w:val="23"/>
          <w:szCs w:val="23"/>
        </w:rPr>
        <w:t xml:space="preserve"> </w:t>
      </w:r>
      <w:r w:rsidR="000C6CD2" w:rsidRPr="00231A4E">
        <w:rPr>
          <w:rFonts w:ascii="ZapfHumnst BT" w:hAnsi="ZapfHumnst BT" w:cs="Arial"/>
          <w:sz w:val="23"/>
          <w:szCs w:val="23"/>
        </w:rPr>
        <w:t>– Procurador(a) de Contas junto ao TCE</w:t>
      </w:r>
    </w:p>
    <w:p w14:paraId="49EBA76D" w14:textId="06EF6649" w:rsidR="00C57363" w:rsidRPr="00231A4E" w:rsidRDefault="00C57363" w:rsidP="009B48F4">
      <w:pPr>
        <w:keepNext/>
        <w:jc w:val="both"/>
        <w:rPr>
          <w:rFonts w:ascii="ZapfHumnst BT" w:hAnsi="ZapfHumnst BT" w:cs="Arial"/>
          <w:sz w:val="23"/>
          <w:szCs w:val="23"/>
        </w:rPr>
      </w:pPr>
    </w:p>
    <w:p w14:paraId="3020131C" w14:textId="77777777" w:rsidR="00B33A77" w:rsidRPr="00231A4E" w:rsidRDefault="00B33A77" w:rsidP="009B48F4">
      <w:pPr>
        <w:keepNext/>
        <w:jc w:val="both"/>
        <w:rPr>
          <w:rFonts w:ascii="ZapfHumnst BT" w:hAnsi="ZapfHumnst BT" w:cs="Arial"/>
          <w:sz w:val="23"/>
          <w:szCs w:val="23"/>
        </w:rPr>
      </w:pPr>
    </w:p>
    <w:sectPr w:rsidR="00B33A77" w:rsidRPr="00231A4E" w:rsidSect="00A9084B">
      <w:headerReference w:type="default" r:id="rId9"/>
      <w:footerReference w:type="default" r:id="rId10"/>
      <w:pgSz w:w="11906" w:h="16838"/>
      <w:pgMar w:top="1985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196960" w14:textId="77777777" w:rsidR="00E25830" w:rsidRDefault="00E25830" w:rsidP="00BE1DA4">
      <w:r>
        <w:separator/>
      </w:r>
    </w:p>
  </w:endnote>
  <w:endnote w:type="continuationSeparator" w:id="0">
    <w:p w14:paraId="452D6499" w14:textId="77777777" w:rsidR="00E25830" w:rsidRDefault="00E25830" w:rsidP="00BE1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llag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Humnst BT">
    <w:panose1 w:val="020B05020505080903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44F441" w14:textId="696E327B" w:rsidR="00D92492" w:rsidRPr="00B726E0" w:rsidRDefault="00D92492" w:rsidP="007143C7">
    <w:pPr>
      <w:pStyle w:val="Rodap"/>
      <w:pBdr>
        <w:top w:val="single" w:sz="4" w:space="1" w:color="auto"/>
      </w:pBdr>
      <w:tabs>
        <w:tab w:val="clear" w:pos="8504"/>
        <w:tab w:val="right" w:pos="8505"/>
      </w:tabs>
      <w:ind w:right="-1"/>
      <w:jc w:val="both"/>
      <w:rPr>
        <w:rFonts w:ascii="Arial" w:hAnsi="Arial" w:cs="Arial"/>
        <w:i/>
        <w:sz w:val="16"/>
        <w:szCs w:val="16"/>
      </w:rPr>
    </w:pPr>
    <w:r w:rsidRPr="00B726E0">
      <w:rPr>
        <w:rFonts w:ascii="Arial" w:hAnsi="Arial" w:cs="Arial"/>
        <w:i/>
        <w:sz w:val="18"/>
        <w:szCs w:val="18"/>
      </w:rPr>
      <w:t>Ata da Sessão Ordinária da Primeira Câmara nº 0</w:t>
    </w:r>
    <w:r w:rsidR="00FC71BA">
      <w:rPr>
        <w:rFonts w:ascii="Arial" w:hAnsi="Arial" w:cs="Arial"/>
        <w:i/>
        <w:sz w:val="18"/>
        <w:szCs w:val="18"/>
      </w:rPr>
      <w:t>1</w:t>
    </w:r>
    <w:r w:rsidR="00065028">
      <w:rPr>
        <w:rFonts w:ascii="Arial" w:hAnsi="Arial" w:cs="Arial"/>
        <w:i/>
        <w:sz w:val="18"/>
        <w:szCs w:val="18"/>
      </w:rPr>
      <w:t>3</w:t>
    </w:r>
    <w:r w:rsidRPr="00B726E0">
      <w:rPr>
        <w:rFonts w:ascii="Arial" w:hAnsi="Arial" w:cs="Arial"/>
        <w:i/>
        <w:sz w:val="18"/>
        <w:szCs w:val="18"/>
      </w:rPr>
      <w:t xml:space="preserve"> de </w:t>
    </w:r>
    <w:r w:rsidR="00065028">
      <w:rPr>
        <w:rFonts w:ascii="Arial" w:hAnsi="Arial" w:cs="Arial"/>
        <w:i/>
        <w:sz w:val="18"/>
        <w:szCs w:val="18"/>
      </w:rPr>
      <w:t>21</w:t>
    </w:r>
    <w:r w:rsidR="007B588E">
      <w:rPr>
        <w:rFonts w:ascii="Arial" w:hAnsi="Arial" w:cs="Arial"/>
        <w:i/>
        <w:sz w:val="18"/>
        <w:szCs w:val="18"/>
      </w:rPr>
      <w:t>/</w:t>
    </w:r>
    <w:r w:rsidR="00FC71BA">
      <w:rPr>
        <w:rFonts w:ascii="Arial" w:hAnsi="Arial" w:cs="Arial"/>
        <w:i/>
        <w:sz w:val="18"/>
        <w:szCs w:val="18"/>
      </w:rPr>
      <w:t>7</w:t>
    </w:r>
    <w:r w:rsidR="00B414C5">
      <w:rPr>
        <w:rFonts w:ascii="Arial" w:hAnsi="Arial" w:cs="Arial"/>
        <w:i/>
        <w:sz w:val="18"/>
        <w:szCs w:val="18"/>
      </w:rPr>
      <w:t>/202</w:t>
    </w:r>
    <w:r w:rsidR="001D4CCB">
      <w:rPr>
        <w:rFonts w:ascii="Arial" w:hAnsi="Arial" w:cs="Arial"/>
        <w:i/>
        <w:sz w:val="18"/>
        <w:szCs w:val="18"/>
      </w:rPr>
      <w:t>6</w:t>
    </w:r>
    <w:r w:rsidRPr="00B726E0">
      <w:rPr>
        <w:rFonts w:ascii="Arial" w:hAnsi="Arial" w:cs="Arial"/>
        <w:i/>
        <w:sz w:val="18"/>
        <w:szCs w:val="18"/>
      </w:rPr>
      <w:t>.</w:t>
    </w:r>
    <w:r w:rsidRPr="00B726E0">
      <w:rPr>
        <w:rFonts w:ascii="Arial" w:hAnsi="Arial" w:cs="Arial"/>
        <w:i/>
        <w:sz w:val="18"/>
        <w:szCs w:val="18"/>
      </w:rPr>
      <w:tab/>
      <w:t xml:space="preserve"> </w:t>
    </w:r>
    <w:r w:rsidRPr="00B726E0">
      <w:rPr>
        <w:rStyle w:val="Nmerodepgina"/>
        <w:rFonts w:ascii="Arial" w:hAnsi="Arial" w:cs="Arial"/>
        <w:i/>
        <w:sz w:val="18"/>
        <w:szCs w:val="18"/>
      </w:rPr>
      <w:fldChar w:fldCharType="begin"/>
    </w:r>
    <w:r w:rsidRPr="00B726E0">
      <w:rPr>
        <w:rStyle w:val="Nmerodepgina"/>
        <w:rFonts w:ascii="Arial" w:hAnsi="Arial" w:cs="Arial"/>
        <w:i/>
        <w:sz w:val="18"/>
        <w:szCs w:val="18"/>
      </w:rPr>
      <w:instrText xml:space="preserve"> PAGE </w:instrText>
    </w:r>
    <w:r w:rsidRPr="00B726E0">
      <w:rPr>
        <w:rStyle w:val="Nmerodepgina"/>
        <w:rFonts w:ascii="Arial" w:hAnsi="Arial" w:cs="Arial"/>
        <w:i/>
        <w:sz w:val="18"/>
        <w:szCs w:val="18"/>
      </w:rPr>
      <w:fldChar w:fldCharType="separate"/>
    </w:r>
    <w:r w:rsidR="00A9084B">
      <w:rPr>
        <w:rStyle w:val="Nmerodepgina"/>
        <w:rFonts w:ascii="Arial" w:hAnsi="Arial" w:cs="Arial"/>
        <w:i/>
        <w:noProof/>
        <w:sz w:val="18"/>
        <w:szCs w:val="18"/>
      </w:rPr>
      <w:t>1</w:t>
    </w:r>
    <w:r w:rsidRPr="00B726E0">
      <w:rPr>
        <w:rStyle w:val="Nmerodepgina"/>
        <w:rFonts w:ascii="Arial" w:hAnsi="Arial" w:cs="Arial"/>
        <w:i/>
        <w:sz w:val="18"/>
        <w:szCs w:val="18"/>
      </w:rPr>
      <w:fldChar w:fldCharType="end"/>
    </w:r>
  </w:p>
  <w:p w14:paraId="79427A43" w14:textId="77777777" w:rsidR="00D92492" w:rsidRDefault="00D92492" w:rsidP="000C335D">
    <w:pPr>
      <w:pStyle w:val="Rodap"/>
      <w:tabs>
        <w:tab w:val="clear" w:pos="4252"/>
        <w:tab w:val="center" w:pos="467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3BD797" w14:textId="77777777" w:rsidR="00E25830" w:rsidRDefault="00E25830" w:rsidP="00BE1DA4">
      <w:r>
        <w:separator/>
      </w:r>
    </w:p>
  </w:footnote>
  <w:footnote w:type="continuationSeparator" w:id="0">
    <w:p w14:paraId="3F979D74" w14:textId="77777777" w:rsidR="00E25830" w:rsidRDefault="00E25830" w:rsidP="00BE1D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536D3" w14:textId="15D4BA59" w:rsidR="00D92492" w:rsidRDefault="001068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A16F6D" wp14:editId="6EBAB2D8">
              <wp:simplePos x="0" y="0"/>
              <wp:positionH relativeFrom="column">
                <wp:posOffset>2171065</wp:posOffset>
              </wp:positionH>
              <wp:positionV relativeFrom="paragraph">
                <wp:posOffset>-24130</wp:posOffset>
              </wp:positionV>
              <wp:extent cx="2856230" cy="368300"/>
              <wp:effectExtent l="0" t="0" r="127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56230" cy="3683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B52E719" w14:textId="7FD54996" w:rsidR="00D92492" w:rsidRPr="0099492C" w:rsidRDefault="00D92492" w:rsidP="001D0484">
                          <w:pPr>
                            <w:rPr>
                              <w:rFonts w:ascii="ZapfHumnst BT" w:hAnsi="ZapfHumnst BT"/>
                              <w:sz w:val="18"/>
                              <w:szCs w:val="18"/>
                            </w:rPr>
                          </w:pPr>
                          <w:r w:rsidRPr="0099492C">
                            <w:rPr>
                              <w:rFonts w:ascii="ZapfHumnst BT" w:hAnsi="ZapfHumnst BT"/>
                              <w:sz w:val="18"/>
                              <w:szCs w:val="18"/>
                            </w:rPr>
                            <w:t>SECRETARIA D</w:t>
                          </w:r>
                          <w:r w:rsidR="001068E0">
                            <w:rPr>
                              <w:rFonts w:ascii="ZapfHumnst BT" w:hAnsi="ZapfHumnst BT"/>
                              <w:sz w:val="18"/>
                              <w:szCs w:val="18"/>
                            </w:rPr>
                            <w:t>E PROCESSAMENTO E JULGAMENTO</w:t>
                          </w:r>
                        </w:p>
                        <w:p w14:paraId="26786C8C" w14:textId="79D50EC8" w:rsidR="00D92492" w:rsidRPr="00F3712F" w:rsidRDefault="001068E0" w:rsidP="001D0484">
                          <w:pPr>
                            <w:rPr>
                              <w:rFonts w:ascii="ZapfHumnst BT" w:hAnsi="ZapfHumnst B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ZapfHumnst BT" w:hAnsi="ZapfHumnst BT"/>
                              <w:sz w:val="18"/>
                              <w:szCs w:val="18"/>
                            </w:rPr>
                            <w:t>Divisão de Apoio à 1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ª</w:t>
                          </w:r>
                          <w:r w:rsidR="00D92492">
                            <w:rPr>
                              <w:rFonts w:ascii="ZapfHumnst BT" w:hAnsi="ZapfHumnst BT"/>
                              <w:sz w:val="18"/>
                              <w:szCs w:val="18"/>
                            </w:rPr>
                            <w:t xml:space="preserve"> Câmara</w:t>
                          </w:r>
                        </w:p>
                        <w:p w14:paraId="74E8EEC1" w14:textId="77777777" w:rsidR="00D92492" w:rsidRDefault="00D92492" w:rsidP="001D048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170.95pt;margin-top:-1.9pt;width:224.9pt;height:2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" fillcolor="window" stroked="f" strokeweight=".5pt">
              <v:path arrowok="t"/>
              <v:textbox>
                <w:txbxContent>
                  <w:p w14:paraId="2B52E719" w14:textId="7FD54996" w:rsidR="00D92492" w:rsidRPr="0099492C" w:rsidRDefault="00D92492" w:rsidP="001D0484">
                    <w:pPr>
                      <w:rPr>
                        <w:rFonts w:ascii="ZapfHumnst BT" w:hAnsi="ZapfHumnst BT"/>
                        <w:sz w:val="18"/>
                        <w:szCs w:val="18"/>
                      </w:rPr>
                    </w:pPr>
                    <w:r w:rsidRPr="0099492C">
                      <w:rPr>
                        <w:rFonts w:ascii="ZapfHumnst BT" w:hAnsi="ZapfHumnst BT"/>
                        <w:sz w:val="18"/>
                        <w:szCs w:val="18"/>
                      </w:rPr>
                      <w:t>SECRETARIA D</w:t>
                    </w:r>
                    <w:r w:rsidR="001068E0">
                      <w:rPr>
                        <w:rFonts w:ascii="ZapfHumnst BT" w:hAnsi="ZapfHumnst BT"/>
                        <w:sz w:val="18"/>
                        <w:szCs w:val="18"/>
                      </w:rPr>
                      <w:t>E PROCESSAMENTO E JULGAMENTO</w:t>
                    </w:r>
                  </w:p>
                  <w:p w14:paraId="26786C8C" w14:textId="79D50EC8" w:rsidR="00D92492" w:rsidRPr="00F3712F" w:rsidRDefault="001068E0" w:rsidP="001D0484">
                    <w:pPr>
                      <w:rPr>
                        <w:rFonts w:ascii="ZapfHumnst BT" w:hAnsi="ZapfHumnst BT"/>
                        <w:sz w:val="16"/>
                        <w:szCs w:val="16"/>
                      </w:rPr>
                    </w:pPr>
                    <w:r>
                      <w:rPr>
                        <w:rFonts w:ascii="ZapfHumnst BT" w:hAnsi="ZapfHumnst BT"/>
                        <w:sz w:val="18"/>
                        <w:szCs w:val="18"/>
                      </w:rPr>
                      <w:t>Divisão de Apoio à 1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ª</w:t>
                    </w:r>
                    <w:r w:rsidR="00D92492">
                      <w:rPr>
                        <w:rFonts w:ascii="ZapfHumnst BT" w:hAnsi="ZapfHumnst BT"/>
                        <w:sz w:val="18"/>
                        <w:szCs w:val="18"/>
                      </w:rPr>
                      <w:t xml:space="preserve"> Câmara</w:t>
                    </w:r>
                  </w:p>
                  <w:p w14:paraId="74E8EEC1" w14:textId="77777777" w:rsidR="00D92492" w:rsidRDefault="00D92492" w:rsidP="001D0484"/>
                </w:txbxContent>
              </v:textbox>
            </v:shape>
          </w:pict>
        </mc:Fallback>
      </mc:AlternateContent>
    </w:r>
    <w:r w:rsidR="00D92492">
      <w:rPr>
        <w:noProof/>
      </w:rPr>
      <w:drawing>
        <wp:anchor distT="0" distB="0" distL="114300" distR="114300" simplePos="0" relativeHeight="251658240" behindDoc="1" locked="0" layoutInCell="1" allowOverlap="1" wp14:anchorId="373C9CAA" wp14:editId="1CFDA181">
          <wp:simplePos x="0" y="0"/>
          <wp:positionH relativeFrom="column">
            <wp:posOffset>-789430</wp:posOffset>
          </wp:positionH>
          <wp:positionV relativeFrom="paragraph">
            <wp:posOffset>-343869</wp:posOffset>
          </wp:positionV>
          <wp:extent cx="6452867" cy="961970"/>
          <wp:effectExtent l="0" t="0" r="5715" b="0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4144" cy="962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75DD"/>
    <w:multiLevelType w:val="hybridMultilevel"/>
    <w:tmpl w:val="ECB444DE"/>
    <w:lvl w:ilvl="0" w:tplc="8C6EF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07058"/>
    <w:multiLevelType w:val="hybridMultilevel"/>
    <w:tmpl w:val="61AEAD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541F6"/>
    <w:multiLevelType w:val="hybridMultilevel"/>
    <w:tmpl w:val="6E5631A8"/>
    <w:lvl w:ilvl="0" w:tplc="97062E5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E5F7376"/>
    <w:multiLevelType w:val="multilevel"/>
    <w:tmpl w:val="CF2EA6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4">
    <w:nsid w:val="104B4089"/>
    <w:multiLevelType w:val="hybridMultilevel"/>
    <w:tmpl w:val="9490BF86"/>
    <w:lvl w:ilvl="0" w:tplc="EDE297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C5983"/>
    <w:multiLevelType w:val="multilevel"/>
    <w:tmpl w:val="1A50B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4524F96"/>
    <w:multiLevelType w:val="multilevel"/>
    <w:tmpl w:val="03FC35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87E5A7A"/>
    <w:multiLevelType w:val="multilevel"/>
    <w:tmpl w:val="D87A4B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AF011EA"/>
    <w:multiLevelType w:val="hybridMultilevel"/>
    <w:tmpl w:val="C45CA6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327317"/>
    <w:multiLevelType w:val="hybridMultilevel"/>
    <w:tmpl w:val="2990C6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9F48E5"/>
    <w:multiLevelType w:val="hybridMultilevel"/>
    <w:tmpl w:val="9064DE58"/>
    <w:lvl w:ilvl="0" w:tplc="453EC96A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1CC142D0"/>
    <w:multiLevelType w:val="multilevel"/>
    <w:tmpl w:val="0C2C3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1F111059"/>
    <w:multiLevelType w:val="hybridMultilevel"/>
    <w:tmpl w:val="9F90084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390782A"/>
    <w:multiLevelType w:val="hybridMultilevel"/>
    <w:tmpl w:val="6736FA4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6619AE"/>
    <w:multiLevelType w:val="hybridMultilevel"/>
    <w:tmpl w:val="478C50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737ABE"/>
    <w:multiLevelType w:val="hybridMultilevel"/>
    <w:tmpl w:val="315CE2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4574D2"/>
    <w:multiLevelType w:val="hybridMultilevel"/>
    <w:tmpl w:val="F3A4A2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035D3E"/>
    <w:multiLevelType w:val="hybridMultilevel"/>
    <w:tmpl w:val="C9A08F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C01C23"/>
    <w:multiLevelType w:val="hybridMultilevel"/>
    <w:tmpl w:val="8B12CFEA"/>
    <w:lvl w:ilvl="0" w:tplc="69C64BA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897C60"/>
    <w:multiLevelType w:val="hybridMultilevel"/>
    <w:tmpl w:val="3776297A"/>
    <w:lvl w:ilvl="0" w:tplc="8B56F0A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E41F48"/>
    <w:multiLevelType w:val="hybridMultilevel"/>
    <w:tmpl w:val="ABEE7C98"/>
    <w:lvl w:ilvl="0" w:tplc="8EA0288A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422A0DF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2CA09BF"/>
    <w:multiLevelType w:val="multilevel"/>
    <w:tmpl w:val="AC945C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4E94F34"/>
    <w:multiLevelType w:val="hybridMultilevel"/>
    <w:tmpl w:val="96DE46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081D35"/>
    <w:multiLevelType w:val="hybridMultilevel"/>
    <w:tmpl w:val="6BC84E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62350"/>
    <w:multiLevelType w:val="hybridMultilevel"/>
    <w:tmpl w:val="5F9EC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F04DF5"/>
    <w:multiLevelType w:val="hybridMultilevel"/>
    <w:tmpl w:val="FE8E1D2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373886"/>
    <w:multiLevelType w:val="hybridMultilevel"/>
    <w:tmpl w:val="CD3AC9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8B4862"/>
    <w:multiLevelType w:val="hybridMultilevel"/>
    <w:tmpl w:val="46464BC6"/>
    <w:lvl w:ilvl="0" w:tplc="04160017">
      <w:start w:val="1"/>
      <w:numFmt w:val="lowerLetter"/>
      <w:lvlText w:val="%1)"/>
      <w:lvlJc w:val="left"/>
      <w:pPr>
        <w:ind w:left="1808" w:hanging="360"/>
      </w:pPr>
    </w:lvl>
    <w:lvl w:ilvl="1" w:tplc="04160019" w:tentative="1">
      <w:start w:val="1"/>
      <w:numFmt w:val="lowerLetter"/>
      <w:lvlText w:val="%2."/>
      <w:lvlJc w:val="left"/>
      <w:pPr>
        <w:ind w:left="2528" w:hanging="360"/>
      </w:pPr>
    </w:lvl>
    <w:lvl w:ilvl="2" w:tplc="0416001B" w:tentative="1">
      <w:start w:val="1"/>
      <w:numFmt w:val="lowerRoman"/>
      <w:lvlText w:val="%3."/>
      <w:lvlJc w:val="right"/>
      <w:pPr>
        <w:ind w:left="3248" w:hanging="180"/>
      </w:pPr>
    </w:lvl>
    <w:lvl w:ilvl="3" w:tplc="0416000F" w:tentative="1">
      <w:start w:val="1"/>
      <w:numFmt w:val="decimal"/>
      <w:lvlText w:val="%4."/>
      <w:lvlJc w:val="left"/>
      <w:pPr>
        <w:ind w:left="3968" w:hanging="360"/>
      </w:pPr>
    </w:lvl>
    <w:lvl w:ilvl="4" w:tplc="04160019" w:tentative="1">
      <w:start w:val="1"/>
      <w:numFmt w:val="lowerLetter"/>
      <w:lvlText w:val="%5."/>
      <w:lvlJc w:val="left"/>
      <w:pPr>
        <w:ind w:left="4688" w:hanging="360"/>
      </w:pPr>
    </w:lvl>
    <w:lvl w:ilvl="5" w:tplc="0416001B" w:tentative="1">
      <w:start w:val="1"/>
      <w:numFmt w:val="lowerRoman"/>
      <w:lvlText w:val="%6."/>
      <w:lvlJc w:val="right"/>
      <w:pPr>
        <w:ind w:left="5408" w:hanging="180"/>
      </w:pPr>
    </w:lvl>
    <w:lvl w:ilvl="6" w:tplc="0416000F" w:tentative="1">
      <w:start w:val="1"/>
      <w:numFmt w:val="decimal"/>
      <w:lvlText w:val="%7."/>
      <w:lvlJc w:val="left"/>
      <w:pPr>
        <w:ind w:left="6128" w:hanging="360"/>
      </w:pPr>
    </w:lvl>
    <w:lvl w:ilvl="7" w:tplc="04160019" w:tentative="1">
      <w:start w:val="1"/>
      <w:numFmt w:val="lowerLetter"/>
      <w:lvlText w:val="%8."/>
      <w:lvlJc w:val="left"/>
      <w:pPr>
        <w:ind w:left="6848" w:hanging="360"/>
      </w:pPr>
    </w:lvl>
    <w:lvl w:ilvl="8" w:tplc="0416001B" w:tentative="1">
      <w:start w:val="1"/>
      <w:numFmt w:val="lowerRoman"/>
      <w:lvlText w:val="%9."/>
      <w:lvlJc w:val="right"/>
      <w:pPr>
        <w:ind w:left="7568" w:hanging="180"/>
      </w:pPr>
    </w:lvl>
  </w:abstractNum>
  <w:abstractNum w:abstractNumId="29">
    <w:nsid w:val="58295FD6"/>
    <w:multiLevelType w:val="hybridMultilevel"/>
    <w:tmpl w:val="E53CEA8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7C7908"/>
    <w:multiLevelType w:val="hybridMultilevel"/>
    <w:tmpl w:val="0868D5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984EAC"/>
    <w:multiLevelType w:val="hybridMultilevel"/>
    <w:tmpl w:val="4C02634A"/>
    <w:lvl w:ilvl="0" w:tplc="5C8AA01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>
    <w:nsid w:val="62DA120C"/>
    <w:multiLevelType w:val="hybridMultilevel"/>
    <w:tmpl w:val="E87A3914"/>
    <w:lvl w:ilvl="0" w:tplc="04160013">
      <w:start w:val="1"/>
      <w:numFmt w:val="upperRoman"/>
      <w:lvlText w:val="%1."/>
      <w:lvlJc w:val="right"/>
      <w:pPr>
        <w:ind w:left="1854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>
    <w:nsid w:val="65CD3E65"/>
    <w:multiLevelType w:val="hybridMultilevel"/>
    <w:tmpl w:val="890AD1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EE766E"/>
    <w:multiLevelType w:val="multilevel"/>
    <w:tmpl w:val="2F006A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6B1D0656"/>
    <w:multiLevelType w:val="hybridMultilevel"/>
    <w:tmpl w:val="74348E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72556C"/>
    <w:multiLevelType w:val="multilevel"/>
    <w:tmpl w:val="292608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72016B14"/>
    <w:multiLevelType w:val="hybridMultilevel"/>
    <w:tmpl w:val="B07621EC"/>
    <w:lvl w:ilvl="0" w:tplc="3FAE681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335A6C"/>
    <w:multiLevelType w:val="hybridMultilevel"/>
    <w:tmpl w:val="F56861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4968E4"/>
    <w:multiLevelType w:val="hybridMultilevel"/>
    <w:tmpl w:val="7244372E"/>
    <w:lvl w:ilvl="0" w:tplc="8B56F0A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7D558F"/>
    <w:multiLevelType w:val="hybridMultilevel"/>
    <w:tmpl w:val="E0B88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FA106B"/>
    <w:multiLevelType w:val="hybridMultilevel"/>
    <w:tmpl w:val="26E2318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A14716"/>
    <w:multiLevelType w:val="multilevel"/>
    <w:tmpl w:val="EF80A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3">
    <w:nsid w:val="7C1B6355"/>
    <w:multiLevelType w:val="hybridMultilevel"/>
    <w:tmpl w:val="4B72CF3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0"/>
  </w:num>
  <w:num w:numId="3">
    <w:abstractNumId w:val="32"/>
  </w:num>
  <w:num w:numId="4">
    <w:abstractNumId w:val="1"/>
  </w:num>
  <w:num w:numId="5">
    <w:abstractNumId w:val="29"/>
  </w:num>
  <w:num w:numId="6">
    <w:abstractNumId w:val="35"/>
  </w:num>
  <w:num w:numId="7">
    <w:abstractNumId w:val="28"/>
  </w:num>
  <w:num w:numId="8">
    <w:abstractNumId w:val="39"/>
  </w:num>
  <w:num w:numId="9">
    <w:abstractNumId w:val="19"/>
  </w:num>
  <w:num w:numId="10">
    <w:abstractNumId w:val="12"/>
  </w:num>
  <w:num w:numId="11">
    <w:abstractNumId w:val="24"/>
  </w:num>
  <w:num w:numId="12">
    <w:abstractNumId w:val="13"/>
  </w:num>
  <w:num w:numId="13">
    <w:abstractNumId w:val="16"/>
  </w:num>
  <w:num w:numId="14">
    <w:abstractNumId w:val="41"/>
  </w:num>
  <w:num w:numId="15">
    <w:abstractNumId w:val="23"/>
  </w:num>
  <w:num w:numId="16">
    <w:abstractNumId w:val="40"/>
  </w:num>
  <w:num w:numId="17">
    <w:abstractNumId w:val="18"/>
  </w:num>
  <w:num w:numId="18">
    <w:abstractNumId w:val="37"/>
  </w:num>
  <w:num w:numId="19">
    <w:abstractNumId w:val="9"/>
  </w:num>
  <w:num w:numId="20">
    <w:abstractNumId w:val="15"/>
  </w:num>
  <w:num w:numId="21">
    <w:abstractNumId w:val="21"/>
  </w:num>
  <w:num w:numId="22">
    <w:abstractNumId w:val="43"/>
  </w:num>
  <w:num w:numId="23">
    <w:abstractNumId w:val="4"/>
  </w:num>
  <w:num w:numId="24">
    <w:abstractNumId w:val="6"/>
  </w:num>
  <w:num w:numId="25">
    <w:abstractNumId w:val="20"/>
  </w:num>
  <w:num w:numId="26">
    <w:abstractNumId w:val="0"/>
  </w:num>
  <w:num w:numId="27">
    <w:abstractNumId w:val="22"/>
  </w:num>
  <w:num w:numId="28">
    <w:abstractNumId w:val="3"/>
  </w:num>
  <w:num w:numId="29">
    <w:abstractNumId w:val="5"/>
  </w:num>
  <w:num w:numId="30">
    <w:abstractNumId w:val="26"/>
  </w:num>
  <w:num w:numId="31">
    <w:abstractNumId w:val="25"/>
  </w:num>
  <w:num w:numId="32">
    <w:abstractNumId w:val="27"/>
  </w:num>
  <w:num w:numId="33">
    <w:abstractNumId w:val="38"/>
  </w:num>
  <w:num w:numId="34">
    <w:abstractNumId w:val="31"/>
  </w:num>
  <w:num w:numId="35">
    <w:abstractNumId w:val="2"/>
  </w:num>
  <w:num w:numId="36">
    <w:abstractNumId w:val="34"/>
  </w:num>
  <w:num w:numId="37">
    <w:abstractNumId w:val="36"/>
  </w:num>
  <w:num w:numId="38">
    <w:abstractNumId w:val="11"/>
  </w:num>
  <w:num w:numId="39">
    <w:abstractNumId w:val="14"/>
  </w:num>
  <w:num w:numId="40">
    <w:abstractNumId w:val="17"/>
  </w:num>
  <w:num w:numId="41">
    <w:abstractNumId w:val="42"/>
  </w:num>
  <w:num w:numId="42">
    <w:abstractNumId w:val="33"/>
  </w:num>
  <w:num w:numId="43">
    <w:abstractNumId w:val="7"/>
  </w:num>
  <w:num w:numId="4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09B"/>
    <w:rsid w:val="00002F89"/>
    <w:rsid w:val="00004F14"/>
    <w:rsid w:val="00007B8E"/>
    <w:rsid w:val="00010CC4"/>
    <w:rsid w:val="00010E9D"/>
    <w:rsid w:val="000125D0"/>
    <w:rsid w:val="00012C64"/>
    <w:rsid w:val="00013AA1"/>
    <w:rsid w:val="00014D8B"/>
    <w:rsid w:val="00016B35"/>
    <w:rsid w:val="00016DF8"/>
    <w:rsid w:val="00017323"/>
    <w:rsid w:val="000218C1"/>
    <w:rsid w:val="00025B18"/>
    <w:rsid w:val="0003259D"/>
    <w:rsid w:val="00032747"/>
    <w:rsid w:val="00032A51"/>
    <w:rsid w:val="000330FF"/>
    <w:rsid w:val="000356CA"/>
    <w:rsid w:val="00045DA8"/>
    <w:rsid w:val="000466A3"/>
    <w:rsid w:val="00050D99"/>
    <w:rsid w:val="00052D8C"/>
    <w:rsid w:val="00054A59"/>
    <w:rsid w:val="00056260"/>
    <w:rsid w:val="0005711B"/>
    <w:rsid w:val="000608B4"/>
    <w:rsid w:val="00060CB3"/>
    <w:rsid w:val="00065028"/>
    <w:rsid w:val="00065C37"/>
    <w:rsid w:val="00073462"/>
    <w:rsid w:val="000738B8"/>
    <w:rsid w:val="000766F8"/>
    <w:rsid w:val="00084850"/>
    <w:rsid w:val="00087C25"/>
    <w:rsid w:val="00090BB6"/>
    <w:rsid w:val="0009543E"/>
    <w:rsid w:val="000A208F"/>
    <w:rsid w:val="000B3347"/>
    <w:rsid w:val="000B480F"/>
    <w:rsid w:val="000B6C67"/>
    <w:rsid w:val="000B71FA"/>
    <w:rsid w:val="000C0511"/>
    <w:rsid w:val="000C335D"/>
    <w:rsid w:val="000C4E9B"/>
    <w:rsid w:val="000C5A42"/>
    <w:rsid w:val="000C6CD2"/>
    <w:rsid w:val="000D18DA"/>
    <w:rsid w:val="000D4709"/>
    <w:rsid w:val="000D5123"/>
    <w:rsid w:val="000E1586"/>
    <w:rsid w:val="000E5472"/>
    <w:rsid w:val="000E7938"/>
    <w:rsid w:val="000F1F00"/>
    <w:rsid w:val="000F2C2A"/>
    <w:rsid w:val="000F3AFB"/>
    <w:rsid w:val="000F41F7"/>
    <w:rsid w:val="000F4FEE"/>
    <w:rsid w:val="000F5388"/>
    <w:rsid w:val="000F55C1"/>
    <w:rsid w:val="000F6367"/>
    <w:rsid w:val="000F7400"/>
    <w:rsid w:val="0010131F"/>
    <w:rsid w:val="001019F4"/>
    <w:rsid w:val="00102E8C"/>
    <w:rsid w:val="00103CA3"/>
    <w:rsid w:val="00104CBA"/>
    <w:rsid w:val="0010506F"/>
    <w:rsid w:val="001068E0"/>
    <w:rsid w:val="001102C8"/>
    <w:rsid w:val="00110540"/>
    <w:rsid w:val="0011104A"/>
    <w:rsid w:val="00111323"/>
    <w:rsid w:val="0011226F"/>
    <w:rsid w:val="00116FF3"/>
    <w:rsid w:val="00121D2B"/>
    <w:rsid w:val="00124E63"/>
    <w:rsid w:val="0012571B"/>
    <w:rsid w:val="00125D7D"/>
    <w:rsid w:val="00125FF2"/>
    <w:rsid w:val="001314EE"/>
    <w:rsid w:val="00144F01"/>
    <w:rsid w:val="00145C57"/>
    <w:rsid w:val="001511D2"/>
    <w:rsid w:val="00153E37"/>
    <w:rsid w:val="0015476E"/>
    <w:rsid w:val="00160F82"/>
    <w:rsid w:val="00161DB5"/>
    <w:rsid w:val="00163391"/>
    <w:rsid w:val="00167DC5"/>
    <w:rsid w:val="00173B42"/>
    <w:rsid w:val="001755B6"/>
    <w:rsid w:val="001767E9"/>
    <w:rsid w:val="00177B17"/>
    <w:rsid w:val="00180EA1"/>
    <w:rsid w:val="00181780"/>
    <w:rsid w:val="00181F6E"/>
    <w:rsid w:val="00185AB6"/>
    <w:rsid w:val="0018732E"/>
    <w:rsid w:val="00190EE4"/>
    <w:rsid w:val="00191581"/>
    <w:rsid w:val="00194C77"/>
    <w:rsid w:val="00195022"/>
    <w:rsid w:val="001A16FE"/>
    <w:rsid w:val="001A1EF0"/>
    <w:rsid w:val="001A260E"/>
    <w:rsid w:val="001A2F82"/>
    <w:rsid w:val="001A475F"/>
    <w:rsid w:val="001B0CD1"/>
    <w:rsid w:val="001B1C95"/>
    <w:rsid w:val="001B44DD"/>
    <w:rsid w:val="001C126A"/>
    <w:rsid w:val="001C2281"/>
    <w:rsid w:val="001C2E32"/>
    <w:rsid w:val="001C4A58"/>
    <w:rsid w:val="001C5806"/>
    <w:rsid w:val="001C5A56"/>
    <w:rsid w:val="001C5B6C"/>
    <w:rsid w:val="001C6995"/>
    <w:rsid w:val="001C73F6"/>
    <w:rsid w:val="001D0484"/>
    <w:rsid w:val="001D19FE"/>
    <w:rsid w:val="001D2339"/>
    <w:rsid w:val="001D37E1"/>
    <w:rsid w:val="001D3D87"/>
    <w:rsid w:val="001D4CCB"/>
    <w:rsid w:val="001D7DD9"/>
    <w:rsid w:val="001E3938"/>
    <w:rsid w:val="001E5207"/>
    <w:rsid w:val="001E5A55"/>
    <w:rsid w:val="001E5A86"/>
    <w:rsid w:val="001E7AF9"/>
    <w:rsid w:val="001F4BCC"/>
    <w:rsid w:val="001F6F23"/>
    <w:rsid w:val="00200BDD"/>
    <w:rsid w:val="00201511"/>
    <w:rsid w:val="00204B71"/>
    <w:rsid w:val="002132CC"/>
    <w:rsid w:val="00213605"/>
    <w:rsid w:val="00216CA3"/>
    <w:rsid w:val="0022109E"/>
    <w:rsid w:val="00224D5D"/>
    <w:rsid w:val="00226070"/>
    <w:rsid w:val="00231A4E"/>
    <w:rsid w:val="002350F9"/>
    <w:rsid w:val="00236323"/>
    <w:rsid w:val="0025235A"/>
    <w:rsid w:val="002570CB"/>
    <w:rsid w:val="002605BF"/>
    <w:rsid w:val="00261B44"/>
    <w:rsid w:val="002621BA"/>
    <w:rsid w:val="00263B73"/>
    <w:rsid w:val="00263B8A"/>
    <w:rsid w:val="00264C8A"/>
    <w:rsid w:val="002666DF"/>
    <w:rsid w:val="0027038A"/>
    <w:rsid w:val="00275498"/>
    <w:rsid w:val="00281114"/>
    <w:rsid w:val="002821DA"/>
    <w:rsid w:val="002824C2"/>
    <w:rsid w:val="0028298B"/>
    <w:rsid w:val="00285EA6"/>
    <w:rsid w:val="002873F3"/>
    <w:rsid w:val="0029041E"/>
    <w:rsid w:val="002916D1"/>
    <w:rsid w:val="002926AC"/>
    <w:rsid w:val="00292B74"/>
    <w:rsid w:val="002A72C7"/>
    <w:rsid w:val="002B3032"/>
    <w:rsid w:val="002B3165"/>
    <w:rsid w:val="002B3915"/>
    <w:rsid w:val="002B477E"/>
    <w:rsid w:val="002B5058"/>
    <w:rsid w:val="002B6613"/>
    <w:rsid w:val="002B721E"/>
    <w:rsid w:val="002C203B"/>
    <w:rsid w:val="002D1C78"/>
    <w:rsid w:val="002D29CC"/>
    <w:rsid w:val="002D436E"/>
    <w:rsid w:val="002D608B"/>
    <w:rsid w:val="002E12E1"/>
    <w:rsid w:val="002E2151"/>
    <w:rsid w:val="002E2E4D"/>
    <w:rsid w:val="002E35D5"/>
    <w:rsid w:val="002E3BDE"/>
    <w:rsid w:val="002E3F64"/>
    <w:rsid w:val="002F05B9"/>
    <w:rsid w:val="002F32E2"/>
    <w:rsid w:val="002F66B7"/>
    <w:rsid w:val="00301E82"/>
    <w:rsid w:val="0030240C"/>
    <w:rsid w:val="003028DB"/>
    <w:rsid w:val="003058C3"/>
    <w:rsid w:val="00305976"/>
    <w:rsid w:val="00307935"/>
    <w:rsid w:val="00311836"/>
    <w:rsid w:val="0031321D"/>
    <w:rsid w:val="0031338C"/>
    <w:rsid w:val="00314A43"/>
    <w:rsid w:val="00314FE1"/>
    <w:rsid w:val="0031596E"/>
    <w:rsid w:val="00316D31"/>
    <w:rsid w:val="00316F95"/>
    <w:rsid w:val="003217EB"/>
    <w:rsid w:val="00321EAC"/>
    <w:rsid w:val="0032487D"/>
    <w:rsid w:val="003263D3"/>
    <w:rsid w:val="003308D6"/>
    <w:rsid w:val="00333D29"/>
    <w:rsid w:val="003345CA"/>
    <w:rsid w:val="003362AB"/>
    <w:rsid w:val="0034338B"/>
    <w:rsid w:val="00351425"/>
    <w:rsid w:val="00352CF2"/>
    <w:rsid w:val="0035499A"/>
    <w:rsid w:val="00355271"/>
    <w:rsid w:val="00356850"/>
    <w:rsid w:val="0035710D"/>
    <w:rsid w:val="00361A93"/>
    <w:rsid w:val="00361C0C"/>
    <w:rsid w:val="00363480"/>
    <w:rsid w:val="0036404E"/>
    <w:rsid w:val="003640D3"/>
    <w:rsid w:val="003663B8"/>
    <w:rsid w:val="0037047D"/>
    <w:rsid w:val="00370C63"/>
    <w:rsid w:val="003729BC"/>
    <w:rsid w:val="00374D9E"/>
    <w:rsid w:val="00376B8B"/>
    <w:rsid w:val="00381460"/>
    <w:rsid w:val="003819CC"/>
    <w:rsid w:val="003837E8"/>
    <w:rsid w:val="00385058"/>
    <w:rsid w:val="00390C6B"/>
    <w:rsid w:val="003A0E07"/>
    <w:rsid w:val="003A32B3"/>
    <w:rsid w:val="003A5C20"/>
    <w:rsid w:val="003A5E90"/>
    <w:rsid w:val="003B19FC"/>
    <w:rsid w:val="003C1352"/>
    <w:rsid w:val="003C5A62"/>
    <w:rsid w:val="003C7486"/>
    <w:rsid w:val="003D2100"/>
    <w:rsid w:val="003D69AE"/>
    <w:rsid w:val="003E024E"/>
    <w:rsid w:val="003E52A1"/>
    <w:rsid w:val="003E6124"/>
    <w:rsid w:val="003F048D"/>
    <w:rsid w:val="003F3DD1"/>
    <w:rsid w:val="003F40E1"/>
    <w:rsid w:val="003F565F"/>
    <w:rsid w:val="003F57D8"/>
    <w:rsid w:val="0040688D"/>
    <w:rsid w:val="004074D1"/>
    <w:rsid w:val="004107CE"/>
    <w:rsid w:val="00411640"/>
    <w:rsid w:val="004155FB"/>
    <w:rsid w:val="004172D0"/>
    <w:rsid w:val="0041751B"/>
    <w:rsid w:val="0042175E"/>
    <w:rsid w:val="004224B1"/>
    <w:rsid w:val="004229DA"/>
    <w:rsid w:val="0042573B"/>
    <w:rsid w:val="0043016E"/>
    <w:rsid w:val="00433B2F"/>
    <w:rsid w:val="00434CFB"/>
    <w:rsid w:val="00435FC7"/>
    <w:rsid w:val="00440280"/>
    <w:rsid w:val="00445D4B"/>
    <w:rsid w:val="0045474D"/>
    <w:rsid w:val="004570CB"/>
    <w:rsid w:val="00460621"/>
    <w:rsid w:val="00463D1B"/>
    <w:rsid w:val="00465431"/>
    <w:rsid w:val="004658B3"/>
    <w:rsid w:val="00465E0A"/>
    <w:rsid w:val="004678A4"/>
    <w:rsid w:val="00470BF5"/>
    <w:rsid w:val="00472E8E"/>
    <w:rsid w:val="00473B34"/>
    <w:rsid w:val="00473FF5"/>
    <w:rsid w:val="00474787"/>
    <w:rsid w:val="004758C4"/>
    <w:rsid w:val="00482CD1"/>
    <w:rsid w:val="00485898"/>
    <w:rsid w:val="00486B51"/>
    <w:rsid w:val="0049201D"/>
    <w:rsid w:val="00496250"/>
    <w:rsid w:val="004A3DA3"/>
    <w:rsid w:val="004A47AC"/>
    <w:rsid w:val="004A489B"/>
    <w:rsid w:val="004A6D47"/>
    <w:rsid w:val="004B23AC"/>
    <w:rsid w:val="004B2A73"/>
    <w:rsid w:val="004B313E"/>
    <w:rsid w:val="004C0A0D"/>
    <w:rsid w:val="004C253D"/>
    <w:rsid w:val="004C4841"/>
    <w:rsid w:val="004D1563"/>
    <w:rsid w:val="004D46A6"/>
    <w:rsid w:val="004D5DFD"/>
    <w:rsid w:val="004D62CF"/>
    <w:rsid w:val="004E17C9"/>
    <w:rsid w:val="004E2586"/>
    <w:rsid w:val="004F1BE0"/>
    <w:rsid w:val="004F1D24"/>
    <w:rsid w:val="004F522D"/>
    <w:rsid w:val="004F664D"/>
    <w:rsid w:val="004F7BCB"/>
    <w:rsid w:val="0050307B"/>
    <w:rsid w:val="00504674"/>
    <w:rsid w:val="00507B2E"/>
    <w:rsid w:val="00515003"/>
    <w:rsid w:val="00515A57"/>
    <w:rsid w:val="00515CC2"/>
    <w:rsid w:val="00516FE5"/>
    <w:rsid w:val="0052119D"/>
    <w:rsid w:val="00524A1F"/>
    <w:rsid w:val="0052700A"/>
    <w:rsid w:val="00533193"/>
    <w:rsid w:val="0053427C"/>
    <w:rsid w:val="00537819"/>
    <w:rsid w:val="00537E78"/>
    <w:rsid w:val="00541979"/>
    <w:rsid w:val="00542033"/>
    <w:rsid w:val="005423D9"/>
    <w:rsid w:val="0054260B"/>
    <w:rsid w:val="00544727"/>
    <w:rsid w:val="005473C6"/>
    <w:rsid w:val="00552BD9"/>
    <w:rsid w:val="00553EF8"/>
    <w:rsid w:val="00555D97"/>
    <w:rsid w:val="005570CC"/>
    <w:rsid w:val="00560EC1"/>
    <w:rsid w:val="005610FC"/>
    <w:rsid w:val="00561F85"/>
    <w:rsid w:val="00562050"/>
    <w:rsid w:val="00563C83"/>
    <w:rsid w:val="0056549D"/>
    <w:rsid w:val="005675B7"/>
    <w:rsid w:val="00567A05"/>
    <w:rsid w:val="00567C9C"/>
    <w:rsid w:val="00571302"/>
    <w:rsid w:val="00573668"/>
    <w:rsid w:val="00574D10"/>
    <w:rsid w:val="00575137"/>
    <w:rsid w:val="005762DA"/>
    <w:rsid w:val="00584E3A"/>
    <w:rsid w:val="00585C0A"/>
    <w:rsid w:val="00590429"/>
    <w:rsid w:val="0059531D"/>
    <w:rsid w:val="005960D5"/>
    <w:rsid w:val="00596A94"/>
    <w:rsid w:val="005A2685"/>
    <w:rsid w:val="005A2B24"/>
    <w:rsid w:val="005A6784"/>
    <w:rsid w:val="005A76C7"/>
    <w:rsid w:val="005A7772"/>
    <w:rsid w:val="005B059C"/>
    <w:rsid w:val="005B10E9"/>
    <w:rsid w:val="005B1B58"/>
    <w:rsid w:val="005C0542"/>
    <w:rsid w:val="005C4306"/>
    <w:rsid w:val="005C56FB"/>
    <w:rsid w:val="005C6058"/>
    <w:rsid w:val="005D7C9F"/>
    <w:rsid w:val="005E0AA1"/>
    <w:rsid w:val="005E4B6A"/>
    <w:rsid w:val="005F2D18"/>
    <w:rsid w:val="005F4C52"/>
    <w:rsid w:val="005F59DB"/>
    <w:rsid w:val="005F611E"/>
    <w:rsid w:val="00601DF8"/>
    <w:rsid w:val="00602EC0"/>
    <w:rsid w:val="0060630D"/>
    <w:rsid w:val="0061002B"/>
    <w:rsid w:val="006125BF"/>
    <w:rsid w:val="00612E69"/>
    <w:rsid w:val="00613BAF"/>
    <w:rsid w:val="00615928"/>
    <w:rsid w:val="00615B33"/>
    <w:rsid w:val="00620A7F"/>
    <w:rsid w:val="0062289A"/>
    <w:rsid w:val="0062294C"/>
    <w:rsid w:val="0062322F"/>
    <w:rsid w:val="00623EA5"/>
    <w:rsid w:val="00625E70"/>
    <w:rsid w:val="006302F0"/>
    <w:rsid w:val="00635C51"/>
    <w:rsid w:val="00637AD2"/>
    <w:rsid w:val="00642067"/>
    <w:rsid w:val="00643A45"/>
    <w:rsid w:val="006502EB"/>
    <w:rsid w:val="00650D9C"/>
    <w:rsid w:val="006563FF"/>
    <w:rsid w:val="006623ED"/>
    <w:rsid w:val="006630CB"/>
    <w:rsid w:val="00665E21"/>
    <w:rsid w:val="006762EE"/>
    <w:rsid w:val="00681739"/>
    <w:rsid w:val="00682A5C"/>
    <w:rsid w:val="006849A9"/>
    <w:rsid w:val="0069139A"/>
    <w:rsid w:val="0069297C"/>
    <w:rsid w:val="00696EBD"/>
    <w:rsid w:val="0069759C"/>
    <w:rsid w:val="006A609B"/>
    <w:rsid w:val="006B10B8"/>
    <w:rsid w:val="006B2FF1"/>
    <w:rsid w:val="006B45F3"/>
    <w:rsid w:val="006B574E"/>
    <w:rsid w:val="006C03FD"/>
    <w:rsid w:val="006C353D"/>
    <w:rsid w:val="006C41E0"/>
    <w:rsid w:val="006C63B2"/>
    <w:rsid w:val="006C7E81"/>
    <w:rsid w:val="006D0357"/>
    <w:rsid w:val="006D14C3"/>
    <w:rsid w:val="006D1FC6"/>
    <w:rsid w:val="006D3C93"/>
    <w:rsid w:val="006D534B"/>
    <w:rsid w:val="006E0C83"/>
    <w:rsid w:val="006E112D"/>
    <w:rsid w:val="006E1E75"/>
    <w:rsid w:val="006E2D23"/>
    <w:rsid w:val="006E3652"/>
    <w:rsid w:val="006E4A11"/>
    <w:rsid w:val="006F39C4"/>
    <w:rsid w:val="006F41EE"/>
    <w:rsid w:val="006F660A"/>
    <w:rsid w:val="0070327F"/>
    <w:rsid w:val="00706BDD"/>
    <w:rsid w:val="00706CE6"/>
    <w:rsid w:val="00707BF7"/>
    <w:rsid w:val="0071098C"/>
    <w:rsid w:val="00710BA8"/>
    <w:rsid w:val="007143C7"/>
    <w:rsid w:val="00714F07"/>
    <w:rsid w:val="00717559"/>
    <w:rsid w:val="00717E1A"/>
    <w:rsid w:val="00725346"/>
    <w:rsid w:val="0073004C"/>
    <w:rsid w:val="00730703"/>
    <w:rsid w:val="007329B7"/>
    <w:rsid w:val="00733575"/>
    <w:rsid w:val="0073389B"/>
    <w:rsid w:val="007340A9"/>
    <w:rsid w:val="00735E54"/>
    <w:rsid w:val="00741B81"/>
    <w:rsid w:val="007469E4"/>
    <w:rsid w:val="007508C1"/>
    <w:rsid w:val="0075261B"/>
    <w:rsid w:val="00752BB8"/>
    <w:rsid w:val="0076587D"/>
    <w:rsid w:val="00771B41"/>
    <w:rsid w:val="00772E59"/>
    <w:rsid w:val="0077713D"/>
    <w:rsid w:val="007800F9"/>
    <w:rsid w:val="00781663"/>
    <w:rsid w:val="007821D0"/>
    <w:rsid w:val="00782B67"/>
    <w:rsid w:val="00782DE2"/>
    <w:rsid w:val="007861DE"/>
    <w:rsid w:val="007905C1"/>
    <w:rsid w:val="00793478"/>
    <w:rsid w:val="00793591"/>
    <w:rsid w:val="00793856"/>
    <w:rsid w:val="00795B46"/>
    <w:rsid w:val="00796A11"/>
    <w:rsid w:val="007A1D1A"/>
    <w:rsid w:val="007A276E"/>
    <w:rsid w:val="007A47D8"/>
    <w:rsid w:val="007A5410"/>
    <w:rsid w:val="007B176B"/>
    <w:rsid w:val="007B588E"/>
    <w:rsid w:val="007B7BE0"/>
    <w:rsid w:val="007C260D"/>
    <w:rsid w:val="007C269B"/>
    <w:rsid w:val="007C2DAB"/>
    <w:rsid w:val="007C6231"/>
    <w:rsid w:val="007C6898"/>
    <w:rsid w:val="007C7057"/>
    <w:rsid w:val="007D02E9"/>
    <w:rsid w:val="007D041B"/>
    <w:rsid w:val="007D045E"/>
    <w:rsid w:val="007E5837"/>
    <w:rsid w:val="007E6E24"/>
    <w:rsid w:val="007F09F2"/>
    <w:rsid w:val="007F3836"/>
    <w:rsid w:val="007F5E73"/>
    <w:rsid w:val="00800E45"/>
    <w:rsid w:val="008020E4"/>
    <w:rsid w:val="00803363"/>
    <w:rsid w:val="00804371"/>
    <w:rsid w:val="00806667"/>
    <w:rsid w:val="008073DA"/>
    <w:rsid w:val="00811610"/>
    <w:rsid w:val="00815D62"/>
    <w:rsid w:val="00816518"/>
    <w:rsid w:val="0082721F"/>
    <w:rsid w:val="00827637"/>
    <w:rsid w:val="008327B6"/>
    <w:rsid w:val="008410DC"/>
    <w:rsid w:val="008423AD"/>
    <w:rsid w:val="0084390C"/>
    <w:rsid w:val="00850A56"/>
    <w:rsid w:val="00851505"/>
    <w:rsid w:val="00853BA1"/>
    <w:rsid w:val="00853C08"/>
    <w:rsid w:val="00854C36"/>
    <w:rsid w:val="0085683C"/>
    <w:rsid w:val="008570EB"/>
    <w:rsid w:val="008577B3"/>
    <w:rsid w:val="008652C4"/>
    <w:rsid w:val="008722E2"/>
    <w:rsid w:val="008732E0"/>
    <w:rsid w:val="00877F0C"/>
    <w:rsid w:val="00883360"/>
    <w:rsid w:val="00883648"/>
    <w:rsid w:val="008856EE"/>
    <w:rsid w:val="008861F9"/>
    <w:rsid w:val="00886DDA"/>
    <w:rsid w:val="00887382"/>
    <w:rsid w:val="00887B33"/>
    <w:rsid w:val="00893BDD"/>
    <w:rsid w:val="00893E0A"/>
    <w:rsid w:val="00894E40"/>
    <w:rsid w:val="008960AF"/>
    <w:rsid w:val="008A18FF"/>
    <w:rsid w:val="008A32D6"/>
    <w:rsid w:val="008A398A"/>
    <w:rsid w:val="008A3B68"/>
    <w:rsid w:val="008A677D"/>
    <w:rsid w:val="008B367D"/>
    <w:rsid w:val="008B4CCD"/>
    <w:rsid w:val="008B57EB"/>
    <w:rsid w:val="008C0471"/>
    <w:rsid w:val="008C5672"/>
    <w:rsid w:val="008D134F"/>
    <w:rsid w:val="008D4A14"/>
    <w:rsid w:val="008D6E03"/>
    <w:rsid w:val="008D7784"/>
    <w:rsid w:val="008E2477"/>
    <w:rsid w:val="008E5A06"/>
    <w:rsid w:val="008E6EBB"/>
    <w:rsid w:val="008E7845"/>
    <w:rsid w:val="008E7960"/>
    <w:rsid w:val="008F60E7"/>
    <w:rsid w:val="008F6208"/>
    <w:rsid w:val="008F6258"/>
    <w:rsid w:val="00901906"/>
    <w:rsid w:val="00904852"/>
    <w:rsid w:val="009055B5"/>
    <w:rsid w:val="00905DA8"/>
    <w:rsid w:val="009162C6"/>
    <w:rsid w:val="00916778"/>
    <w:rsid w:val="00921B7A"/>
    <w:rsid w:val="009225C1"/>
    <w:rsid w:val="00924D23"/>
    <w:rsid w:val="009261ED"/>
    <w:rsid w:val="009359A5"/>
    <w:rsid w:val="00937FC2"/>
    <w:rsid w:val="00944DBB"/>
    <w:rsid w:val="00944DF6"/>
    <w:rsid w:val="00945381"/>
    <w:rsid w:val="0094775E"/>
    <w:rsid w:val="00954150"/>
    <w:rsid w:val="00966986"/>
    <w:rsid w:val="00976277"/>
    <w:rsid w:val="00982F9F"/>
    <w:rsid w:val="00990D39"/>
    <w:rsid w:val="009935F4"/>
    <w:rsid w:val="009A08D7"/>
    <w:rsid w:val="009A26AA"/>
    <w:rsid w:val="009A5C33"/>
    <w:rsid w:val="009B0701"/>
    <w:rsid w:val="009B3644"/>
    <w:rsid w:val="009B41FC"/>
    <w:rsid w:val="009B48F4"/>
    <w:rsid w:val="009B5E0C"/>
    <w:rsid w:val="009B7620"/>
    <w:rsid w:val="009C0795"/>
    <w:rsid w:val="009C746A"/>
    <w:rsid w:val="009D4BC4"/>
    <w:rsid w:val="009D4D3D"/>
    <w:rsid w:val="009D4D65"/>
    <w:rsid w:val="009E3DB4"/>
    <w:rsid w:val="009E4579"/>
    <w:rsid w:val="009E4E0D"/>
    <w:rsid w:val="009E5CEC"/>
    <w:rsid w:val="009F1B06"/>
    <w:rsid w:val="009F3EDD"/>
    <w:rsid w:val="00A00BFF"/>
    <w:rsid w:val="00A0117B"/>
    <w:rsid w:val="00A06111"/>
    <w:rsid w:val="00A10F20"/>
    <w:rsid w:val="00A12559"/>
    <w:rsid w:val="00A12C39"/>
    <w:rsid w:val="00A13C42"/>
    <w:rsid w:val="00A21F78"/>
    <w:rsid w:val="00A23341"/>
    <w:rsid w:val="00A3010F"/>
    <w:rsid w:val="00A31C7C"/>
    <w:rsid w:val="00A405DE"/>
    <w:rsid w:val="00A4141A"/>
    <w:rsid w:val="00A416C1"/>
    <w:rsid w:val="00A4287C"/>
    <w:rsid w:val="00A43A92"/>
    <w:rsid w:val="00A526A2"/>
    <w:rsid w:val="00A62A7D"/>
    <w:rsid w:val="00A63C19"/>
    <w:rsid w:val="00A63C38"/>
    <w:rsid w:val="00A666A4"/>
    <w:rsid w:val="00A74923"/>
    <w:rsid w:val="00A77466"/>
    <w:rsid w:val="00A77537"/>
    <w:rsid w:val="00A81161"/>
    <w:rsid w:val="00A84A55"/>
    <w:rsid w:val="00A85835"/>
    <w:rsid w:val="00A9084B"/>
    <w:rsid w:val="00A92766"/>
    <w:rsid w:val="00A93B00"/>
    <w:rsid w:val="00A977C3"/>
    <w:rsid w:val="00AA2663"/>
    <w:rsid w:val="00AB7A94"/>
    <w:rsid w:val="00AC112D"/>
    <w:rsid w:val="00AC1A10"/>
    <w:rsid w:val="00AC2340"/>
    <w:rsid w:val="00AC3A6A"/>
    <w:rsid w:val="00AC6360"/>
    <w:rsid w:val="00AC6E29"/>
    <w:rsid w:val="00AC729A"/>
    <w:rsid w:val="00AC7B98"/>
    <w:rsid w:val="00AD0581"/>
    <w:rsid w:val="00AD15F0"/>
    <w:rsid w:val="00AD1A88"/>
    <w:rsid w:val="00AD4FAB"/>
    <w:rsid w:val="00AD6F29"/>
    <w:rsid w:val="00AD75B6"/>
    <w:rsid w:val="00AE06C4"/>
    <w:rsid w:val="00AE2E26"/>
    <w:rsid w:val="00AE2EFF"/>
    <w:rsid w:val="00AE7627"/>
    <w:rsid w:val="00AF06BE"/>
    <w:rsid w:val="00AF2335"/>
    <w:rsid w:val="00AF2C4B"/>
    <w:rsid w:val="00AF2CB6"/>
    <w:rsid w:val="00AF38EB"/>
    <w:rsid w:val="00AF4C37"/>
    <w:rsid w:val="00B00179"/>
    <w:rsid w:val="00B0311C"/>
    <w:rsid w:val="00B04B60"/>
    <w:rsid w:val="00B04EB6"/>
    <w:rsid w:val="00B056C2"/>
    <w:rsid w:val="00B05FCA"/>
    <w:rsid w:val="00B11853"/>
    <w:rsid w:val="00B30A6E"/>
    <w:rsid w:val="00B31580"/>
    <w:rsid w:val="00B33A77"/>
    <w:rsid w:val="00B36A9C"/>
    <w:rsid w:val="00B36E17"/>
    <w:rsid w:val="00B37668"/>
    <w:rsid w:val="00B40AF6"/>
    <w:rsid w:val="00B414C5"/>
    <w:rsid w:val="00B4174D"/>
    <w:rsid w:val="00B43FE0"/>
    <w:rsid w:val="00B45453"/>
    <w:rsid w:val="00B45F4D"/>
    <w:rsid w:val="00B51C07"/>
    <w:rsid w:val="00B5240A"/>
    <w:rsid w:val="00B5300A"/>
    <w:rsid w:val="00B53069"/>
    <w:rsid w:val="00B53E2A"/>
    <w:rsid w:val="00B6380A"/>
    <w:rsid w:val="00B64DA8"/>
    <w:rsid w:val="00B66E68"/>
    <w:rsid w:val="00B677AE"/>
    <w:rsid w:val="00B726E0"/>
    <w:rsid w:val="00B82476"/>
    <w:rsid w:val="00B82858"/>
    <w:rsid w:val="00B82DA2"/>
    <w:rsid w:val="00B84264"/>
    <w:rsid w:val="00B95ECA"/>
    <w:rsid w:val="00B9603E"/>
    <w:rsid w:val="00B966E1"/>
    <w:rsid w:val="00BA1E23"/>
    <w:rsid w:val="00BA22B8"/>
    <w:rsid w:val="00BA2F15"/>
    <w:rsid w:val="00BB3A39"/>
    <w:rsid w:val="00BB3DA4"/>
    <w:rsid w:val="00BC2015"/>
    <w:rsid w:val="00BC3DB7"/>
    <w:rsid w:val="00BC72EF"/>
    <w:rsid w:val="00BD0D7C"/>
    <w:rsid w:val="00BD1099"/>
    <w:rsid w:val="00BD1C4B"/>
    <w:rsid w:val="00BD4A13"/>
    <w:rsid w:val="00BD65D6"/>
    <w:rsid w:val="00BE1DA4"/>
    <w:rsid w:val="00BE6CDB"/>
    <w:rsid w:val="00BF2BCB"/>
    <w:rsid w:val="00BF3F6E"/>
    <w:rsid w:val="00BF4173"/>
    <w:rsid w:val="00BF60C9"/>
    <w:rsid w:val="00BF6443"/>
    <w:rsid w:val="00BF6784"/>
    <w:rsid w:val="00BF691B"/>
    <w:rsid w:val="00BF6931"/>
    <w:rsid w:val="00C046B9"/>
    <w:rsid w:val="00C11913"/>
    <w:rsid w:val="00C131EB"/>
    <w:rsid w:val="00C13FD2"/>
    <w:rsid w:val="00C15A23"/>
    <w:rsid w:val="00C1682C"/>
    <w:rsid w:val="00C20905"/>
    <w:rsid w:val="00C20E4A"/>
    <w:rsid w:val="00C23945"/>
    <w:rsid w:val="00C32AAD"/>
    <w:rsid w:val="00C32E78"/>
    <w:rsid w:val="00C33D52"/>
    <w:rsid w:val="00C34D31"/>
    <w:rsid w:val="00C35719"/>
    <w:rsid w:val="00C35CE8"/>
    <w:rsid w:val="00C35E95"/>
    <w:rsid w:val="00C36950"/>
    <w:rsid w:val="00C44670"/>
    <w:rsid w:val="00C47554"/>
    <w:rsid w:val="00C47CD9"/>
    <w:rsid w:val="00C50234"/>
    <w:rsid w:val="00C53E3D"/>
    <w:rsid w:val="00C549BB"/>
    <w:rsid w:val="00C57363"/>
    <w:rsid w:val="00C6186B"/>
    <w:rsid w:val="00C671F6"/>
    <w:rsid w:val="00C71DB4"/>
    <w:rsid w:val="00C7391C"/>
    <w:rsid w:val="00C76217"/>
    <w:rsid w:val="00C77750"/>
    <w:rsid w:val="00C82365"/>
    <w:rsid w:val="00C830F0"/>
    <w:rsid w:val="00C85BA0"/>
    <w:rsid w:val="00C870E1"/>
    <w:rsid w:val="00C9147A"/>
    <w:rsid w:val="00C95508"/>
    <w:rsid w:val="00C958A2"/>
    <w:rsid w:val="00CA222A"/>
    <w:rsid w:val="00CA23B6"/>
    <w:rsid w:val="00CC0398"/>
    <w:rsid w:val="00CC2F2A"/>
    <w:rsid w:val="00CC3A65"/>
    <w:rsid w:val="00CC6050"/>
    <w:rsid w:val="00CC679A"/>
    <w:rsid w:val="00CC764D"/>
    <w:rsid w:val="00CC7CDE"/>
    <w:rsid w:val="00CD0720"/>
    <w:rsid w:val="00CD0892"/>
    <w:rsid w:val="00CD1D76"/>
    <w:rsid w:val="00CD4A7D"/>
    <w:rsid w:val="00CD65AF"/>
    <w:rsid w:val="00CD6E42"/>
    <w:rsid w:val="00CE0066"/>
    <w:rsid w:val="00CE193B"/>
    <w:rsid w:val="00CE1F69"/>
    <w:rsid w:val="00CE29F0"/>
    <w:rsid w:val="00CE31A4"/>
    <w:rsid w:val="00CE381B"/>
    <w:rsid w:val="00CE4038"/>
    <w:rsid w:val="00CE4809"/>
    <w:rsid w:val="00CE4F04"/>
    <w:rsid w:val="00CE6666"/>
    <w:rsid w:val="00CE6915"/>
    <w:rsid w:val="00CE7D14"/>
    <w:rsid w:val="00CF001F"/>
    <w:rsid w:val="00CF4ABC"/>
    <w:rsid w:val="00CF5E4C"/>
    <w:rsid w:val="00D0428C"/>
    <w:rsid w:val="00D05B7E"/>
    <w:rsid w:val="00D103CC"/>
    <w:rsid w:val="00D12C87"/>
    <w:rsid w:val="00D1489B"/>
    <w:rsid w:val="00D1495E"/>
    <w:rsid w:val="00D21D30"/>
    <w:rsid w:val="00D44561"/>
    <w:rsid w:val="00D477E7"/>
    <w:rsid w:val="00D55DF5"/>
    <w:rsid w:val="00D56E0A"/>
    <w:rsid w:val="00D61896"/>
    <w:rsid w:val="00D6298E"/>
    <w:rsid w:val="00D64011"/>
    <w:rsid w:val="00D65EAB"/>
    <w:rsid w:val="00D668D7"/>
    <w:rsid w:val="00D679EF"/>
    <w:rsid w:val="00D703D2"/>
    <w:rsid w:val="00D708EB"/>
    <w:rsid w:val="00D72D66"/>
    <w:rsid w:val="00D7393F"/>
    <w:rsid w:val="00D74435"/>
    <w:rsid w:val="00D74C30"/>
    <w:rsid w:val="00D74CD6"/>
    <w:rsid w:val="00D83786"/>
    <w:rsid w:val="00D83D2C"/>
    <w:rsid w:val="00D84077"/>
    <w:rsid w:val="00D84469"/>
    <w:rsid w:val="00D865AB"/>
    <w:rsid w:val="00D867FA"/>
    <w:rsid w:val="00D868AA"/>
    <w:rsid w:val="00D86C48"/>
    <w:rsid w:val="00D86E82"/>
    <w:rsid w:val="00D92492"/>
    <w:rsid w:val="00D9271B"/>
    <w:rsid w:val="00D9316C"/>
    <w:rsid w:val="00D93313"/>
    <w:rsid w:val="00D958D7"/>
    <w:rsid w:val="00D9649A"/>
    <w:rsid w:val="00DA0DA6"/>
    <w:rsid w:val="00DA55FA"/>
    <w:rsid w:val="00DA5BEC"/>
    <w:rsid w:val="00DA67CC"/>
    <w:rsid w:val="00DB32E7"/>
    <w:rsid w:val="00DB4ACA"/>
    <w:rsid w:val="00DB5BF0"/>
    <w:rsid w:val="00DB7456"/>
    <w:rsid w:val="00DC1E67"/>
    <w:rsid w:val="00DC78C4"/>
    <w:rsid w:val="00DD55FD"/>
    <w:rsid w:val="00DD67EE"/>
    <w:rsid w:val="00DD7475"/>
    <w:rsid w:val="00DE03A6"/>
    <w:rsid w:val="00DE0EAD"/>
    <w:rsid w:val="00DE129D"/>
    <w:rsid w:val="00DE6D2C"/>
    <w:rsid w:val="00DF6D6C"/>
    <w:rsid w:val="00E03A24"/>
    <w:rsid w:val="00E13CF5"/>
    <w:rsid w:val="00E1679C"/>
    <w:rsid w:val="00E23453"/>
    <w:rsid w:val="00E24584"/>
    <w:rsid w:val="00E25830"/>
    <w:rsid w:val="00E31A97"/>
    <w:rsid w:val="00E330FC"/>
    <w:rsid w:val="00E34E95"/>
    <w:rsid w:val="00E3613A"/>
    <w:rsid w:val="00E4159D"/>
    <w:rsid w:val="00E43ABD"/>
    <w:rsid w:val="00E505C8"/>
    <w:rsid w:val="00E51849"/>
    <w:rsid w:val="00E55701"/>
    <w:rsid w:val="00E56923"/>
    <w:rsid w:val="00E6055B"/>
    <w:rsid w:val="00E62D26"/>
    <w:rsid w:val="00E717F3"/>
    <w:rsid w:val="00E831A6"/>
    <w:rsid w:val="00E84148"/>
    <w:rsid w:val="00E8519A"/>
    <w:rsid w:val="00E94C63"/>
    <w:rsid w:val="00EA0BC2"/>
    <w:rsid w:val="00EA1E59"/>
    <w:rsid w:val="00EA4A86"/>
    <w:rsid w:val="00EA64C2"/>
    <w:rsid w:val="00EB0CE2"/>
    <w:rsid w:val="00EB2CE3"/>
    <w:rsid w:val="00EB499F"/>
    <w:rsid w:val="00EB6106"/>
    <w:rsid w:val="00EC0D99"/>
    <w:rsid w:val="00EC2A66"/>
    <w:rsid w:val="00ED017D"/>
    <w:rsid w:val="00ED22A4"/>
    <w:rsid w:val="00ED2B1F"/>
    <w:rsid w:val="00ED30A6"/>
    <w:rsid w:val="00ED34FF"/>
    <w:rsid w:val="00ED3736"/>
    <w:rsid w:val="00ED636B"/>
    <w:rsid w:val="00EE0403"/>
    <w:rsid w:val="00EE1C2E"/>
    <w:rsid w:val="00EE5679"/>
    <w:rsid w:val="00EE5AC4"/>
    <w:rsid w:val="00EE69BB"/>
    <w:rsid w:val="00EE6FFD"/>
    <w:rsid w:val="00EF11FA"/>
    <w:rsid w:val="00EF17D5"/>
    <w:rsid w:val="00EF3086"/>
    <w:rsid w:val="00EF35DA"/>
    <w:rsid w:val="00EF473C"/>
    <w:rsid w:val="00EF71F7"/>
    <w:rsid w:val="00EF77BC"/>
    <w:rsid w:val="00F07110"/>
    <w:rsid w:val="00F07403"/>
    <w:rsid w:val="00F10C68"/>
    <w:rsid w:val="00F110E5"/>
    <w:rsid w:val="00F12800"/>
    <w:rsid w:val="00F14DC6"/>
    <w:rsid w:val="00F178DB"/>
    <w:rsid w:val="00F23BF8"/>
    <w:rsid w:val="00F23FF1"/>
    <w:rsid w:val="00F24550"/>
    <w:rsid w:val="00F266D4"/>
    <w:rsid w:val="00F332C1"/>
    <w:rsid w:val="00F3359E"/>
    <w:rsid w:val="00F33D7A"/>
    <w:rsid w:val="00F3457D"/>
    <w:rsid w:val="00F3478F"/>
    <w:rsid w:val="00F34D8E"/>
    <w:rsid w:val="00F36F33"/>
    <w:rsid w:val="00F36FC8"/>
    <w:rsid w:val="00F37C6B"/>
    <w:rsid w:val="00F40485"/>
    <w:rsid w:val="00F52963"/>
    <w:rsid w:val="00F5384C"/>
    <w:rsid w:val="00F54771"/>
    <w:rsid w:val="00F618B7"/>
    <w:rsid w:val="00F62A34"/>
    <w:rsid w:val="00F6503A"/>
    <w:rsid w:val="00F659D4"/>
    <w:rsid w:val="00F667F2"/>
    <w:rsid w:val="00F705E1"/>
    <w:rsid w:val="00F730E6"/>
    <w:rsid w:val="00F74BC9"/>
    <w:rsid w:val="00F80007"/>
    <w:rsid w:val="00F81817"/>
    <w:rsid w:val="00F8256D"/>
    <w:rsid w:val="00F83476"/>
    <w:rsid w:val="00F84B92"/>
    <w:rsid w:val="00F84D2E"/>
    <w:rsid w:val="00F8594E"/>
    <w:rsid w:val="00F906DD"/>
    <w:rsid w:val="00F910CD"/>
    <w:rsid w:val="00F94F3D"/>
    <w:rsid w:val="00F95742"/>
    <w:rsid w:val="00FA407A"/>
    <w:rsid w:val="00FA693B"/>
    <w:rsid w:val="00FA70B4"/>
    <w:rsid w:val="00FA7156"/>
    <w:rsid w:val="00FB7357"/>
    <w:rsid w:val="00FC0CAD"/>
    <w:rsid w:val="00FC1DD3"/>
    <w:rsid w:val="00FC636D"/>
    <w:rsid w:val="00FC71BA"/>
    <w:rsid w:val="00FD02A0"/>
    <w:rsid w:val="00FD3CC1"/>
    <w:rsid w:val="00FD6BA0"/>
    <w:rsid w:val="00FD7DEC"/>
    <w:rsid w:val="00FD7E97"/>
    <w:rsid w:val="00FE07B3"/>
    <w:rsid w:val="00FE192D"/>
    <w:rsid w:val="00FE2C33"/>
    <w:rsid w:val="00FE5A2D"/>
    <w:rsid w:val="00FE6215"/>
    <w:rsid w:val="00FE6C20"/>
    <w:rsid w:val="00FF1619"/>
    <w:rsid w:val="00FF231B"/>
    <w:rsid w:val="00FF40C1"/>
    <w:rsid w:val="00FF54A8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C45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B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E1D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1DA4"/>
  </w:style>
  <w:style w:type="paragraph" w:styleId="Rodap">
    <w:name w:val="footer"/>
    <w:basedOn w:val="Normal"/>
    <w:link w:val="RodapChar"/>
    <w:unhideWhenUsed/>
    <w:rsid w:val="00BE1D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E1DA4"/>
  </w:style>
  <w:style w:type="paragraph" w:styleId="Textodebalo">
    <w:name w:val="Balloon Text"/>
    <w:basedOn w:val="Normal"/>
    <w:link w:val="TextodebaloChar"/>
    <w:uiPriority w:val="99"/>
    <w:semiHidden/>
    <w:unhideWhenUsed/>
    <w:rsid w:val="00BE1DA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E1DA4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6A609B"/>
    <w:pPr>
      <w:tabs>
        <w:tab w:val="left" w:pos="6804"/>
      </w:tabs>
      <w:jc w:val="both"/>
    </w:pPr>
    <w:rPr>
      <w:sz w:val="24"/>
    </w:rPr>
  </w:style>
  <w:style w:type="character" w:customStyle="1" w:styleId="CorpodetextoChar">
    <w:name w:val="Corpo de texto Char"/>
    <w:link w:val="Corpodetexto"/>
    <w:rsid w:val="006A609B"/>
    <w:rPr>
      <w:rFonts w:ascii="Times New Roman" w:eastAsia="Times New Roman" w:hAnsi="Times New Roman"/>
      <w:sz w:val="24"/>
    </w:rPr>
  </w:style>
  <w:style w:type="paragraph" w:styleId="Recuodecorpodetexto3">
    <w:name w:val="Body Text Indent 3"/>
    <w:basedOn w:val="Normal"/>
    <w:link w:val="Recuodecorpodetexto3Char"/>
    <w:rsid w:val="006A609B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6A609B"/>
    <w:rPr>
      <w:rFonts w:ascii="Times New Roman" w:eastAsia="Times New Roman" w:hAnsi="Times New Roman"/>
      <w:sz w:val="16"/>
      <w:szCs w:val="16"/>
      <w:lang w:val="x-none" w:eastAsia="x-none"/>
    </w:rPr>
  </w:style>
  <w:style w:type="character" w:styleId="Nmerodepgina">
    <w:name w:val="page number"/>
    <w:basedOn w:val="Fontepargpadro"/>
    <w:rsid w:val="000C335D"/>
  </w:style>
  <w:style w:type="paragraph" w:styleId="Ttulo">
    <w:name w:val="Title"/>
    <w:basedOn w:val="Normal"/>
    <w:link w:val="TtuloChar"/>
    <w:qFormat/>
    <w:rsid w:val="007143C7"/>
    <w:pPr>
      <w:jc w:val="center"/>
    </w:pPr>
    <w:rPr>
      <w:rFonts w:ascii="Collage" w:hAnsi="Collage"/>
      <w:b/>
      <w:i/>
      <w:sz w:val="28"/>
      <w:u w:val="single"/>
    </w:rPr>
  </w:style>
  <w:style w:type="character" w:customStyle="1" w:styleId="TtuloChar">
    <w:name w:val="Título Char"/>
    <w:basedOn w:val="Fontepargpadro"/>
    <w:link w:val="Ttulo"/>
    <w:rsid w:val="007143C7"/>
    <w:rPr>
      <w:rFonts w:ascii="Collage" w:eastAsia="Times New Roman" w:hAnsi="Collage"/>
      <w:b/>
      <w:i/>
      <w:sz w:val="28"/>
      <w:u w:val="single"/>
    </w:rPr>
  </w:style>
  <w:style w:type="character" w:customStyle="1" w:styleId="fontstyle01">
    <w:name w:val="fontstyle01"/>
    <w:basedOn w:val="Fontepargpadro"/>
    <w:rsid w:val="007143C7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30597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D2B1F"/>
    <w:pPr>
      <w:ind w:left="720"/>
      <w:contextualSpacing/>
    </w:pPr>
  </w:style>
  <w:style w:type="character" w:customStyle="1" w:styleId="st1">
    <w:name w:val="st1"/>
    <w:basedOn w:val="Fontepargpadro"/>
    <w:rsid w:val="00F3478F"/>
  </w:style>
  <w:style w:type="character" w:styleId="Hyperlink">
    <w:name w:val="Hyperlink"/>
    <w:basedOn w:val="Fontepargpadro"/>
    <w:uiPriority w:val="99"/>
    <w:unhideWhenUsed/>
    <w:rsid w:val="005751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B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E1D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1DA4"/>
  </w:style>
  <w:style w:type="paragraph" w:styleId="Rodap">
    <w:name w:val="footer"/>
    <w:basedOn w:val="Normal"/>
    <w:link w:val="RodapChar"/>
    <w:unhideWhenUsed/>
    <w:rsid w:val="00BE1D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E1DA4"/>
  </w:style>
  <w:style w:type="paragraph" w:styleId="Textodebalo">
    <w:name w:val="Balloon Text"/>
    <w:basedOn w:val="Normal"/>
    <w:link w:val="TextodebaloChar"/>
    <w:uiPriority w:val="99"/>
    <w:semiHidden/>
    <w:unhideWhenUsed/>
    <w:rsid w:val="00BE1DA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E1DA4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6A609B"/>
    <w:pPr>
      <w:tabs>
        <w:tab w:val="left" w:pos="6804"/>
      </w:tabs>
      <w:jc w:val="both"/>
    </w:pPr>
    <w:rPr>
      <w:sz w:val="24"/>
    </w:rPr>
  </w:style>
  <w:style w:type="character" w:customStyle="1" w:styleId="CorpodetextoChar">
    <w:name w:val="Corpo de texto Char"/>
    <w:link w:val="Corpodetexto"/>
    <w:rsid w:val="006A609B"/>
    <w:rPr>
      <w:rFonts w:ascii="Times New Roman" w:eastAsia="Times New Roman" w:hAnsi="Times New Roman"/>
      <w:sz w:val="24"/>
    </w:rPr>
  </w:style>
  <w:style w:type="paragraph" w:styleId="Recuodecorpodetexto3">
    <w:name w:val="Body Text Indent 3"/>
    <w:basedOn w:val="Normal"/>
    <w:link w:val="Recuodecorpodetexto3Char"/>
    <w:rsid w:val="006A609B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6A609B"/>
    <w:rPr>
      <w:rFonts w:ascii="Times New Roman" w:eastAsia="Times New Roman" w:hAnsi="Times New Roman"/>
      <w:sz w:val="16"/>
      <w:szCs w:val="16"/>
      <w:lang w:val="x-none" w:eastAsia="x-none"/>
    </w:rPr>
  </w:style>
  <w:style w:type="character" w:styleId="Nmerodepgina">
    <w:name w:val="page number"/>
    <w:basedOn w:val="Fontepargpadro"/>
    <w:rsid w:val="000C335D"/>
  </w:style>
  <w:style w:type="paragraph" w:styleId="Ttulo">
    <w:name w:val="Title"/>
    <w:basedOn w:val="Normal"/>
    <w:link w:val="TtuloChar"/>
    <w:qFormat/>
    <w:rsid w:val="007143C7"/>
    <w:pPr>
      <w:jc w:val="center"/>
    </w:pPr>
    <w:rPr>
      <w:rFonts w:ascii="Collage" w:hAnsi="Collage"/>
      <w:b/>
      <w:i/>
      <w:sz w:val="28"/>
      <w:u w:val="single"/>
    </w:rPr>
  </w:style>
  <w:style w:type="character" w:customStyle="1" w:styleId="TtuloChar">
    <w:name w:val="Título Char"/>
    <w:basedOn w:val="Fontepargpadro"/>
    <w:link w:val="Ttulo"/>
    <w:rsid w:val="007143C7"/>
    <w:rPr>
      <w:rFonts w:ascii="Collage" w:eastAsia="Times New Roman" w:hAnsi="Collage"/>
      <w:b/>
      <w:i/>
      <w:sz w:val="28"/>
      <w:u w:val="single"/>
    </w:rPr>
  </w:style>
  <w:style w:type="character" w:customStyle="1" w:styleId="fontstyle01">
    <w:name w:val="fontstyle01"/>
    <w:basedOn w:val="Fontepargpadro"/>
    <w:rsid w:val="007143C7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30597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D2B1F"/>
    <w:pPr>
      <w:ind w:left="720"/>
      <w:contextualSpacing/>
    </w:pPr>
  </w:style>
  <w:style w:type="character" w:customStyle="1" w:styleId="st1">
    <w:name w:val="st1"/>
    <w:basedOn w:val="Fontepargpadro"/>
    <w:rsid w:val="00F3478F"/>
  </w:style>
  <w:style w:type="character" w:styleId="Hyperlink">
    <w:name w:val="Hyperlink"/>
    <w:basedOn w:val="Fontepargpadro"/>
    <w:uiPriority w:val="99"/>
    <w:unhideWhenUsed/>
    <w:rsid w:val="005751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1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80519-1AD5-4407-9866-2F2ECB2E4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3542</Words>
  <Characters>19131</Characters>
  <Application>Microsoft Office Word</Application>
  <DocSecurity>0</DocSecurity>
  <Lines>159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Carlos Andrade Soares</dc:creator>
  <cp:lastModifiedBy>Jackson Ferreira de Sousa</cp:lastModifiedBy>
  <cp:revision>10</cp:revision>
  <cp:lastPrinted>2026-03-27T11:02:00Z</cp:lastPrinted>
  <dcterms:created xsi:type="dcterms:W3CDTF">2026-07-21T15:52:00Z</dcterms:created>
  <dcterms:modified xsi:type="dcterms:W3CDTF">2026-07-21T19:48:00Z</dcterms:modified>
</cp:coreProperties>
</file>