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54DB5FA6" w:rsidR="007143C7" w:rsidRPr="00000A63" w:rsidRDefault="007143C7" w:rsidP="00000A63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r w:rsidRPr="00000A63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000A63">
        <w:rPr>
          <w:rFonts w:ascii="ZapfHumnst BT" w:hAnsi="ZapfHumnst BT" w:cs="Arial"/>
          <w:i w:val="0"/>
          <w:sz w:val="23"/>
          <w:szCs w:val="23"/>
          <w:u w:val="none"/>
        </w:rPr>
        <w:t>01</w:t>
      </w:r>
      <w:r w:rsidRPr="00000A63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31596E" w:rsidRPr="00000A63">
        <w:rPr>
          <w:rFonts w:ascii="ZapfHumnst BT" w:hAnsi="ZapfHumnst BT" w:cs="Arial"/>
          <w:i w:val="0"/>
          <w:sz w:val="23"/>
          <w:szCs w:val="23"/>
          <w:u w:val="none"/>
        </w:rPr>
        <w:t>5</w:t>
      </w:r>
    </w:p>
    <w:p w14:paraId="42C03A97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DD9068D" w14:textId="77777777" w:rsidR="00466810" w:rsidRPr="00000A63" w:rsidRDefault="00CF4ABC" w:rsidP="00000A6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 xml:space="preserve">Aos vinte e </w:t>
      </w:r>
      <w:r w:rsidR="0031596E" w:rsidRPr="00000A63">
        <w:rPr>
          <w:rFonts w:ascii="ZapfHumnst BT" w:hAnsi="ZapfHumnst BT" w:cs="Arial"/>
          <w:sz w:val="23"/>
          <w:szCs w:val="23"/>
        </w:rPr>
        <w:t>oito</w:t>
      </w:r>
      <w:r w:rsidRPr="00000A63">
        <w:rPr>
          <w:rFonts w:ascii="ZapfHumnst BT" w:hAnsi="ZapfHumnst BT" w:cs="Arial"/>
          <w:sz w:val="23"/>
          <w:szCs w:val="23"/>
        </w:rPr>
        <w:t xml:space="preserve"> dias do mês de janeiro do ano de dois mil e vinte e </w:t>
      </w:r>
      <w:r w:rsidR="0031596E" w:rsidRPr="00000A63">
        <w:rPr>
          <w:rFonts w:ascii="ZapfHumnst BT" w:hAnsi="ZapfHumnst BT" w:cs="Arial"/>
          <w:sz w:val="23"/>
          <w:szCs w:val="23"/>
        </w:rPr>
        <w:t>cinco</w:t>
      </w:r>
      <w:r w:rsidRPr="00000A63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</w:t>
      </w:r>
      <w:r w:rsidR="003F42FC" w:rsidRPr="00000A63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  <w:r w:rsidR="003F42FC"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sz w:val="23"/>
          <w:szCs w:val="23"/>
        </w:rPr>
        <w:t>d</w:t>
      </w:r>
      <w:r w:rsidR="003F42FC" w:rsidRPr="00000A63">
        <w:rPr>
          <w:rFonts w:ascii="ZapfHumnst BT" w:hAnsi="ZapfHumnst BT" w:cs="Arial"/>
          <w:sz w:val="23"/>
          <w:szCs w:val="23"/>
        </w:rPr>
        <w:t>o</w:t>
      </w:r>
      <w:r w:rsidRPr="00000A63">
        <w:rPr>
          <w:rFonts w:ascii="ZapfHumnst BT" w:hAnsi="ZapfHumnst BT" w:cs="Arial"/>
          <w:sz w:val="23"/>
          <w:szCs w:val="23"/>
        </w:rPr>
        <w:t xml:space="preserve"> Exm</w:t>
      </w:r>
      <w:r w:rsidR="003F42FC" w:rsidRPr="00000A63">
        <w:rPr>
          <w:rFonts w:ascii="ZapfHumnst BT" w:hAnsi="ZapfHumnst BT" w:cs="Arial"/>
          <w:sz w:val="23"/>
          <w:szCs w:val="23"/>
        </w:rPr>
        <w:t>o</w:t>
      </w:r>
      <w:r w:rsidRPr="00000A63">
        <w:rPr>
          <w:rFonts w:ascii="ZapfHumnst BT" w:hAnsi="ZapfHumnst BT" w:cs="Arial"/>
          <w:sz w:val="23"/>
          <w:szCs w:val="23"/>
        </w:rPr>
        <w:t xml:space="preserve">. Sr. </w:t>
      </w:r>
      <w:r w:rsidR="00466810" w:rsidRPr="00000A63">
        <w:rPr>
          <w:rFonts w:ascii="ZapfHumnst BT" w:hAnsi="ZapfHumnst BT" w:cs="Arial"/>
          <w:sz w:val="23"/>
          <w:szCs w:val="23"/>
        </w:rPr>
        <w:t>Cons. Kleber Dantas Eulálio</w:t>
      </w:r>
      <w:r w:rsidRPr="00000A63">
        <w:rPr>
          <w:rFonts w:ascii="ZapfHumnst BT" w:hAnsi="ZapfHumnst BT" w:cs="Arial"/>
          <w:sz w:val="23"/>
          <w:szCs w:val="23"/>
        </w:rPr>
        <w:t>. Presentes, também</w:t>
      </w:r>
      <w:r w:rsidR="00466810" w:rsidRPr="00000A63">
        <w:rPr>
          <w:rFonts w:ascii="ZapfHumnst BT" w:hAnsi="ZapfHumnst BT" w:cs="Arial"/>
          <w:sz w:val="23"/>
          <w:szCs w:val="23"/>
        </w:rPr>
        <w:t>: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</w:p>
    <w:p w14:paraId="0BA26DC2" w14:textId="7F182E06" w:rsidR="00466810" w:rsidRDefault="00466810" w:rsidP="00000A6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o Cons. Substituto Delano Carneiro da Cunha Câmara, em substituição à Cons.ª Rejane Ribeiro Sousa Dias; o Cons. Substituto Jackson Nobre Veras, em substituição à Cons.ª Flora Izabel Nobre Rodrigues; e os Representantes do Ministério Público de Contas do Estado do Piauí, Subprocurador-Geral Leandro Maciel do Nascimento (presente durante a apreciação de todos os processos, excetuando-se o</w:t>
      </w:r>
      <w:r w:rsidR="000B6A69" w:rsidRPr="00000A63">
        <w:rPr>
          <w:rFonts w:ascii="ZapfHumnst BT" w:hAnsi="ZapfHumnst BT" w:cs="Arial"/>
          <w:sz w:val="23"/>
          <w:szCs w:val="23"/>
        </w:rPr>
        <w:t xml:space="preserve">s </w:t>
      </w:r>
      <w:r w:rsidRPr="00000A63">
        <w:rPr>
          <w:rFonts w:ascii="ZapfHumnst BT" w:hAnsi="ZapfHumnst BT" w:cs="Arial"/>
          <w:sz w:val="23"/>
          <w:szCs w:val="23"/>
        </w:rPr>
        <w:t>processo</w:t>
      </w:r>
      <w:r w:rsidR="000B6A69" w:rsidRPr="00000A63">
        <w:rPr>
          <w:rFonts w:ascii="ZapfHumnst BT" w:hAnsi="ZapfHumnst BT" w:cs="Arial"/>
          <w:sz w:val="23"/>
          <w:szCs w:val="23"/>
        </w:rPr>
        <w:t>s</w:t>
      </w:r>
      <w:r w:rsidRPr="00000A63">
        <w:rPr>
          <w:rFonts w:ascii="ZapfHumnst BT" w:hAnsi="ZapfHumnst BT" w:cs="Arial"/>
          <w:sz w:val="23"/>
          <w:szCs w:val="23"/>
        </w:rPr>
        <w:t xml:space="preserve"> TC/</w:t>
      </w:r>
      <w:r w:rsidR="000B6A69" w:rsidRPr="00000A63">
        <w:rPr>
          <w:rFonts w:ascii="ZapfHumnst BT" w:hAnsi="ZapfHumnst BT" w:cs="Arial"/>
          <w:sz w:val="23"/>
          <w:szCs w:val="23"/>
        </w:rPr>
        <w:t>004447</w:t>
      </w:r>
      <w:r w:rsidRPr="00000A63">
        <w:rPr>
          <w:rFonts w:ascii="ZapfHumnst BT" w:hAnsi="ZapfHumnst BT" w:cs="Arial"/>
          <w:sz w:val="23"/>
          <w:szCs w:val="23"/>
        </w:rPr>
        <w:t>/</w:t>
      </w:r>
      <w:r w:rsidR="000B6A69" w:rsidRPr="00000A63">
        <w:rPr>
          <w:rFonts w:ascii="ZapfHumnst BT" w:hAnsi="ZapfHumnst BT" w:cs="Arial"/>
          <w:sz w:val="23"/>
          <w:szCs w:val="23"/>
        </w:rPr>
        <w:t>2022 e TC/008012/2024</w:t>
      </w:r>
      <w:r w:rsidRPr="00000A63">
        <w:rPr>
          <w:rFonts w:ascii="ZapfHumnst BT" w:hAnsi="ZapfHumnst BT" w:cs="Arial"/>
          <w:sz w:val="23"/>
          <w:szCs w:val="23"/>
        </w:rPr>
        <w:t xml:space="preserve">) e </w:t>
      </w:r>
      <w:r w:rsidR="000B6A69" w:rsidRPr="00000A63">
        <w:rPr>
          <w:rFonts w:ascii="ZapfHumnst BT" w:hAnsi="ZapfHumnst BT" w:cs="Arial"/>
          <w:sz w:val="23"/>
          <w:szCs w:val="23"/>
        </w:rPr>
        <w:t>Procurador Márcio André Madeira de Vasconcelos</w:t>
      </w:r>
      <w:r w:rsidRPr="00000A63">
        <w:rPr>
          <w:rFonts w:ascii="ZapfHumnst BT" w:hAnsi="ZapfHumnst BT" w:cs="Arial"/>
          <w:sz w:val="23"/>
          <w:szCs w:val="23"/>
        </w:rPr>
        <w:t xml:space="preserve"> (presente durante a apreciação do</w:t>
      </w:r>
      <w:r w:rsidR="000B6A69" w:rsidRPr="00000A63">
        <w:rPr>
          <w:rFonts w:ascii="ZapfHumnst BT" w:hAnsi="ZapfHumnst BT" w:cs="Arial"/>
          <w:sz w:val="23"/>
          <w:szCs w:val="23"/>
        </w:rPr>
        <w:t>s</w:t>
      </w:r>
      <w:r w:rsidRPr="00000A63">
        <w:rPr>
          <w:rFonts w:ascii="ZapfHumnst BT" w:hAnsi="ZapfHumnst BT" w:cs="Arial"/>
          <w:sz w:val="23"/>
          <w:szCs w:val="23"/>
        </w:rPr>
        <w:t xml:space="preserve"> processo</w:t>
      </w:r>
      <w:r w:rsidR="000B6A69" w:rsidRPr="00000A63">
        <w:rPr>
          <w:rFonts w:ascii="ZapfHumnst BT" w:hAnsi="ZapfHumnst BT" w:cs="Arial"/>
          <w:sz w:val="23"/>
          <w:szCs w:val="23"/>
        </w:rPr>
        <w:t>s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="000B6A69" w:rsidRPr="00000A63">
        <w:rPr>
          <w:rFonts w:ascii="ZapfHumnst BT" w:hAnsi="ZapfHumnst BT" w:cs="Arial"/>
          <w:sz w:val="23"/>
          <w:szCs w:val="23"/>
        </w:rPr>
        <w:t>TC/004447/2022 e TC/008012/2024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="009C6038" w:rsidRPr="00000A63">
        <w:rPr>
          <w:rFonts w:ascii="ZapfHumnst BT" w:hAnsi="ZapfHumnst BT" w:cs="Arial"/>
          <w:sz w:val="23"/>
          <w:szCs w:val="23"/>
        </w:rPr>
        <w:t xml:space="preserve"> Ausentes: a C</w:t>
      </w:r>
      <w:r w:rsidR="009C6038" w:rsidRPr="00000A63">
        <w:rPr>
          <w:rFonts w:ascii="ZapfHumnst BT" w:eastAsia="Times New Roman" w:hAnsi="ZapfHumnst BT" w:cs="Arial"/>
          <w:sz w:val="23"/>
          <w:szCs w:val="23"/>
        </w:rPr>
        <w:t>ons.ª Flora Izabel Nobre Rodrigues (</w:t>
      </w:r>
      <w:r w:rsidR="009C6038" w:rsidRPr="00000A63">
        <w:rPr>
          <w:rFonts w:ascii="ZapfHumnst BT" w:eastAsia="Times New Roman" w:hAnsi="ZapfHumnst BT" w:cs="Arial"/>
          <w:i/>
          <w:iCs/>
          <w:sz w:val="23"/>
          <w:szCs w:val="23"/>
        </w:rPr>
        <w:t>em gozo de férias – Portaria nº 26/2025</w:t>
      </w:r>
      <w:r w:rsidR="009C6038" w:rsidRPr="00000A63">
        <w:rPr>
          <w:rFonts w:ascii="ZapfHumnst BT" w:eastAsia="Times New Roman" w:hAnsi="ZapfHumnst BT" w:cs="Arial"/>
          <w:sz w:val="23"/>
          <w:szCs w:val="23"/>
        </w:rPr>
        <w:t>); a Cons.ª Rejane Ribeiro Sousa Dias (</w:t>
      </w:r>
      <w:r w:rsidR="009C6038" w:rsidRPr="00000A63">
        <w:rPr>
          <w:rFonts w:ascii="ZapfHumnst BT" w:eastAsia="Times New Roman" w:hAnsi="ZapfHumnst BT" w:cs="Arial"/>
          <w:i/>
          <w:iCs/>
          <w:sz w:val="23"/>
          <w:szCs w:val="23"/>
        </w:rPr>
        <w:t>em gozo de férias – Portaria nº 01/2025</w:t>
      </w:r>
      <w:r w:rsidR="009C6038" w:rsidRPr="00000A63">
        <w:rPr>
          <w:rFonts w:ascii="ZapfHumnst BT" w:eastAsia="Times New Roman" w:hAnsi="ZapfHumnst BT" w:cs="Arial"/>
          <w:sz w:val="23"/>
          <w:szCs w:val="23"/>
        </w:rPr>
        <w:t>)</w:t>
      </w:r>
      <w:r w:rsidR="009C6038" w:rsidRPr="00000A63">
        <w:rPr>
          <w:rFonts w:ascii="ZapfHumnst BT" w:hAnsi="ZapfHumnst BT" w:cs="Arial"/>
          <w:sz w:val="23"/>
          <w:szCs w:val="23"/>
        </w:rPr>
        <w:t>; e o Cons. Substituto Jaylson Fabianh Lopes Campelo (</w:t>
      </w:r>
      <w:r w:rsidR="009C6038"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866/2024</w:t>
      </w:r>
      <w:r w:rsidR="009C6038" w:rsidRPr="00000A63">
        <w:rPr>
          <w:rFonts w:ascii="ZapfHumnst BT" w:hAnsi="ZapfHumnst BT" w:cs="Arial"/>
          <w:sz w:val="23"/>
          <w:szCs w:val="23"/>
        </w:rPr>
        <w:t>).</w:t>
      </w:r>
    </w:p>
    <w:p w14:paraId="4B992041" w14:textId="77777777" w:rsidR="007143C7" w:rsidRPr="00000A63" w:rsidRDefault="007143C7" w:rsidP="00000A6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000A63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000A63" w:rsidRDefault="007143C7" w:rsidP="00000A63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000A63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000A63" w:rsidRDefault="007143C7" w:rsidP="00000A6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000A63" w:rsidRDefault="007143C7" w:rsidP="00000A63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000A63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000A63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000A63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000A63" w:rsidRDefault="00DE129D" w:rsidP="00000A6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0AFB2EBD" w14:textId="22619EE5" w:rsidR="00016B35" w:rsidRPr="00000A63" w:rsidRDefault="00563C83" w:rsidP="00000A63">
      <w:pPr>
        <w:keepNext/>
        <w:spacing w:line="360" w:lineRule="auto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000A63">
        <w:rPr>
          <w:rFonts w:ascii="ZapfHumnst BT" w:hAnsi="ZapfHumnst BT" w:cs="Arial"/>
          <w:b/>
          <w:caps/>
          <w:sz w:val="23"/>
          <w:szCs w:val="23"/>
        </w:rPr>
        <w:t>RELATADOS PEL</w:t>
      </w:r>
      <w:r w:rsidR="00D30FBE" w:rsidRPr="00000A63">
        <w:rPr>
          <w:rFonts w:ascii="ZapfHumnst BT" w:hAnsi="ZapfHumnst BT" w:cs="Arial"/>
          <w:b/>
          <w:caps/>
          <w:sz w:val="23"/>
          <w:szCs w:val="23"/>
        </w:rPr>
        <w:t>O</w:t>
      </w:r>
      <w:r w:rsidRPr="00000A63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016B35" w:rsidRPr="00000A63">
        <w:rPr>
          <w:rFonts w:ascii="ZapfHumnst BT" w:hAnsi="ZapfHumnst BT" w:cs="Arial"/>
          <w:b/>
          <w:caps/>
          <w:sz w:val="23"/>
          <w:szCs w:val="23"/>
        </w:rPr>
        <w:t>CONS.</w:t>
      </w:r>
      <w:r w:rsidR="00D30FBE" w:rsidRPr="00000A63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22346B" w:rsidRPr="00000A63">
        <w:rPr>
          <w:rFonts w:ascii="ZapfHumnst BT" w:hAnsi="ZapfHumnst BT" w:cs="Arial"/>
          <w:b/>
          <w:caps/>
          <w:sz w:val="23"/>
          <w:szCs w:val="23"/>
        </w:rPr>
        <w:t xml:space="preserve">substituto </w:t>
      </w:r>
      <w:r w:rsidR="00D30FBE" w:rsidRPr="00000A63">
        <w:rPr>
          <w:rFonts w:ascii="ZapfHumnst BT" w:hAnsi="ZapfHumnst BT" w:cs="Arial"/>
          <w:b/>
          <w:caps/>
          <w:sz w:val="23"/>
          <w:szCs w:val="23"/>
        </w:rPr>
        <w:t xml:space="preserve">DELANO CARNEIRO DA CUNHA </w:t>
      </w:r>
      <w:proofErr w:type="gramStart"/>
      <w:r w:rsidR="00D30FBE" w:rsidRPr="00000A63">
        <w:rPr>
          <w:rFonts w:ascii="ZapfHumnst BT" w:hAnsi="ZapfHumnst BT" w:cs="Arial"/>
          <w:b/>
          <w:caps/>
          <w:sz w:val="23"/>
          <w:szCs w:val="23"/>
        </w:rPr>
        <w:t>CÂMARA</w:t>
      </w:r>
      <w:proofErr w:type="gramEnd"/>
    </w:p>
    <w:p w14:paraId="34C6D2E8" w14:textId="2DB50A71" w:rsidR="00D30FBE" w:rsidRPr="00000A63" w:rsidRDefault="00D30FBE" w:rsidP="00000A63">
      <w:pPr>
        <w:keepNext/>
        <w:spacing w:line="360" w:lineRule="auto"/>
        <w:jc w:val="both"/>
        <w:rPr>
          <w:rFonts w:ascii="ZapfHumnst BT" w:hAnsi="ZapfHumnst BT" w:cs="Arial"/>
          <w:b/>
          <w:caps/>
        </w:rPr>
      </w:pPr>
      <w:r w:rsidRPr="00000A63">
        <w:rPr>
          <w:rFonts w:ascii="ZapfHumnst BT" w:hAnsi="ZapfHumnst BT" w:cs="Arial"/>
          <w:b/>
          <w:caps/>
        </w:rPr>
        <w:t>(Em substituíção à cons.ª rejane ribeiro sousa dias)</w:t>
      </w:r>
    </w:p>
    <w:p w14:paraId="57632C47" w14:textId="77777777" w:rsidR="00D30FBE" w:rsidRPr="00000A63" w:rsidRDefault="00D30FBE" w:rsidP="00000A6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7801612E" w14:textId="1DB0FEEE" w:rsidR="00D30FBE" w:rsidRPr="00000A63" w:rsidRDefault="00D30FBE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 Nº 001/2025.</w:t>
      </w:r>
      <w:r w:rsidRPr="00000A63">
        <w:rPr>
          <w:rFonts w:ascii="ZapfHumnst BT" w:hAnsi="ZapfHumnst BT" w:cs="Arial"/>
          <w:b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noProof/>
          <w:sz w:val="23"/>
          <w:szCs w:val="23"/>
        </w:rPr>
        <w:t xml:space="preserve">TC/004447/2022 – PRESTAÇÃO DE CONTAS DE GOVERNO DA PREFEITURA MUNICIPAL DE SANTA FILOMENA-PI (EXERCÍCIO </w:t>
      </w:r>
      <w:r w:rsidRPr="00000A63">
        <w:rPr>
          <w:rFonts w:ascii="ZapfHumnst BT" w:hAnsi="ZapfHumnst BT" w:cs="Arial"/>
          <w:b/>
          <w:noProof/>
          <w:sz w:val="23"/>
          <w:szCs w:val="23"/>
        </w:rPr>
        <w:lastRenderedPageBreak/>
        <w:t>FINANCEIRO DE 2022)</w:t>
      </w:r>
      <w:r w:rsidRPr="00000A63">
        <w:rPr>
          <w:rFonts w:ascii="ZapfHumnst BT" w:hAnsi="ZapfHumnst BT" w:cs="Arial"/>
          <w:sz w:val="23"/>
          <w:szCs w:val="23"/>
        </w:rPr>
        <w:t xml:space="preserve">. </w:t>
      </w:r>
      <w:r w:rsidRPr="00000A63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sz w:val="23"/>
          <w:szCs w:val="23"/>
        </w:rPr>
        <w:t>PREFEITURA MUNICIPAL</w:t>
      </w:r>
      <w:r w:rsidRPr="00000A63">
        <w:rPr>
          <w:rFonts w:ascii="ZapfHumnst BT" w:hAnsi="ZapfHumnst BT" w:cs="Arial"/>
          <w:sz w:val="23"/>
          <w:szCs w:val="23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sz w:val="23"/>
          <w:szCs w:val="23"/>
        </w:rPr>
        <w:t>Prefeito:</w:t>
      </w:r>
      <w:r w:rsidRPr="00000A63">
        <w:rPr>
          <w:rFonts w:ascii="ZapfHumnst BT" w:hAnsi="ZapfHumnst BT" w:cs="Arial"/>
          <w:sz w:val="23"/>
          <w:szCs w:val="23"/>
          <w:lang w:val="pt-PT"/>
        </w:rPr>
        <w:t xml:space="preserve"> Carlos Augusto de Araújo Braga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. Advogado(s): </w:t>
      </w:r>
      <w:proofErr w:type="spellStart"/>
      <w:r w:rsidRPr="00000A63">
        <w:rPr>
          <w:rFonts w:ascii="ZapfHumnst BT" w:hAnsi="ZapfHumnst BT" w:cs="Arial"/>
          <w:bCs/>
          <w:sz w:val="23"/>
          <w:szCs w:val="23"/>
        </w:rPr>
        <w:t>Luanna</w:t>
      </w:r>
      <w:proofErr w:type="spellEnd"/>
      <w:r w:rsidRPr="00000A63">
        <w:rPr>
          <w:rFonts w:ascii="ZapfHumnst BT" w:hAnsi="ZapfHumnst BT" w:cs="Arial"/>
          <w:bCs/>
          <w:sz w:val="23"/>
          <w:szCs w:val="23"/>
        </w:rPr>
        <w:t xml:space="preserve"> Gomes Portela (OAB/PI 10.959) e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outros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 – (Procuração: fl. 1 da peça 15.2)</w:t>
      </w:r>
      <w:r w:rsidRPr="00000A63">
        <w:rPr>
          <w:rFonts w:ascii="ZapfHumnst BT" w:hAnsi="ZapfHumnst BT" w:cs="Helvetica"/>
          <w:sz w:val="23"/>
          <w:szCs w:val="23"/>
        </w:rPr>
        <w:t>.</w:t>
      </w:r>
      <w:r w:rsidRPr="00000A63">
        <w:rPr>
          <w:rFonts w:ascii="ZapfHumnst BT" w:hAnsi="ZapfHumnst BT" w:cs="Helvetica"/>
          <w:sz w:val="23"/>
          <w:szCs w:val="23"/>
        </w:rPr>
        <w:t xml:space="preserve"> </w:t>
      </w:r>
      <w:bookmarkStart w:id="0" w:name="_Hlk112749864"/>
      <w:r w:rsidRPr="00000A63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 Divisão Técnica da Diretoria de Fiscalização de Gestão e Contas Públicas – DFCONTAS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2</w:t>
      </w:r>
      <w:proofErr w:type="gramEnd"/>
      <w:r w:rsidRPr="00000A63">
        <w:rPr>
          <w:rFonts w:ascii="ZapfHumnst BT" w:hAnsi="ZapfHumnst BT" w:cs="Arial"/>
          <w:sz w:val="23"/>
          <w:szCs w:val="23"/>
        </w:rPr>
        <w:t xml:space="preserve"> (peça 6), o Relatório de Contraditório da II Divisão Técnica da Diretoria de Fiscalização de Gestão e Contas Públicas – DFCONTAS 2 (peça 20), o parecer do Ministério Público de Contas (peça 22), a sustentação oral da advogada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Luanna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Gomes Portela (OAB/PI 10.959)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, que </w:t>
      </w:r>
      <w:r w:rsidRPr="00000A63">
        <w:rPr>
          <w:rFonts w:ascii="ZapfHumnst BT" w:hAnsi="ZapfHumnst BT" w:cs="Helvetica"/>
          <w:sz w:val="23"/>
          <w:szCs w:val="23"/>
        </w:rPr>
        <w:t>se reportou às falhas apontadas,</w:t>
      </w:r>
      <w:r w:rsidRPr="00000A63">
        <w:rPr>
          <w:rFonts w:ascii="ZapfHumnst BT" w:hAnsi="ZapfHumnst BT" w:cs="Arial"/>
          <w:sz w:val="23"/>
          <w:szCs w:val="23"/>
        </w:rPr>
        <w:t xml:space="preserve"> e o mais que dos autos consta, decidiu a Primeira Câmara, unânime, de acordo com o parecer ministerial, conforme e pelos fundamentos expostos no voto do </w:t>
      </w:r>
      <w:r w:rsidRPr="00000A63">
        <w:rPr>
          <w:rFonts w:ascii="ZapfHumnst BT" w:hAnsi="ZapfHumnst BT" w:cs="Arial"/>
          <w:bCs/>
          <w:sz w:val="23"/>
          <w:szCs w:val="23"/>
        </w:rPr>
        <w:t>Relator (peça 27), nos seguintes termos: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 1. 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>Emissão de Parecer Prévio recomendando a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 xml:space="preserve"> APROVAÇÃO COM RESSALVAS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do Chefe do Executivo do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 xml:space="preserve"> Município de Santa Filomena-PI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>, referente ao Exercício de 2022, com esteio no art. 120 da Lei Estadual nº 5.888/09 e no art. 32, § 1º, da Constituição Estadual;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proofErr w:type="gramStart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>2</w:t>
      </w:r>
      <w:proofErr w:type="gramEnd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. 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>Acolhimento da proposta de encaminhamento da DFCONTAS (fls. 23/24 da peça 20) para: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2.1.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DETERMINAR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a utilização dos créditos adicionais somente após a publicação na imprensa oficial dos respectivos decretos autorizativos;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2.2.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a criação de rotinas de conferências das informações publicadas e as repassadas para a contabilidade, bem como as encaminhadas nas Prestações de Contas ao Tribunal;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2.3.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DETERMINAR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para que a contabilidade do ente atenda as disposições do MCASP e Instrução Normativa TCE que dispõe sobre os códigos de Fontes de Recursos e Códigos de Aplicação, de forma a garantir a fidedignidade das demonstrações contábeis do município;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2.4.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DETERMINAR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que </w:t>
      </w:r>
      <w:proofErr w:type="gramStart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>seja</w:t>
      </w:r>
      <w:proofErr w:type="gramEnd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encaminhada ao TCE-PI, via sistema Documentação Web (documentação avulsa), cópia da lei que institui, no âmbito do município, a cobrança dos Serviços de Manejo de Resíduos Sólidos (SMRSU), conforme determinação legal;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2.5.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que </w:t>
      </w:r>
      <w:proofErr w:type="gramStart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>sejam</w:t>
      </w:r>
      <w:proofErr w:type="gramEnd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cumpridas as metas estabelecidas na LDO;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2.6.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DETERMINAR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que na elaboração da LDO </w:t>
      </w:r>
      <w:proofErr w:type="gramStart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>sejam</w:t>
      </w:r>
      <w:proofErr w:type="gramEnd"/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fixadas as metas e outros requisitos dispostos na CF/88, na LRF e demais normas que regem a matéria;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2.7.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RECOMENDAR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o acompanhamento concomitante da arrecadação e dos gastos e obrigações assumidas, a fim de evitar a contratação de obrigações sem a devida cobertura financeira, de forma que haja o comprometendo da gestão fiscal;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2.8.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lastRenderedPageBreak/>
        <w:t>DETERMINAR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ao gestor que mantenha atualizado o sítio eletrônico do ente de forma a adequar e atualizar a referida página na internet ao que disciplina a Lei complementar nº 101/2000 (mormente o artigo 48, caput, do referido diploma), Lei nº 12.527/2011 (artigo 8º) e Instrução Normativa n° 03/2015.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bookmarkEnd w:id="0"/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2A30BE3D" w14:textId="77777777" w:rsidR="00D30FBE" w:rsidRPr="00000A63" w:rsidRDefault="00D30FBE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AFEF278" w14:textId="74D4945D" w:rsidR="00D30FBE" w:rsidRPr="00000A63" w:rsidRDefault="00C242E4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</w:t>
      </w:r>
      <w:r w:rsidRPr="00000A63">
        <w:rPr>
          <w:rFonts w:ascii="ZapfHumnst BT" w:hAnsi="ZapfHumnst BT"/>
          <w:sz w:val="23"/>
          <w:szCs w:val="23"/>
        </w:rPr>
        <w:t xml:space="preserve"> Nº 002/2025.</w:t>
      </w:r>
      <w:r w:rsidRPr="00000A63">
        <w:rPr>
          <w:rFonts w:ascii="ZapfHumnst BT" w:hAnsi="ZapfHumnst BT"/>
          <w:b/>
          <w:bCs/>
          <w:sz w:val="23"/>
          <w:szCs w:val="23"/>
        </w:rPr>
        <w:t xml:space="preserve"> TC/012374/2024 – REPRESENTAÇÃO CONTRA A PREFEITURA MUNICIPAL NAZARÉ DO PIAUÍ-PI (EXERCÍCIO FINANCEIRO DE 2024).</w:t>
      </w:r>
      <w:r w:rsidRPr="00000A63">
        <w:rPr>
          <w:rFonts w:ascii="ZapfHumnst BT" w:hAnsi="ZapfHumnst BT"/>
          <w:sz w:val="23"/>
          <w:szCs w:val="23"/>
        </w:rPr>
        <w:t xml:space="preserve"> Objeto: suposta violação às disposições contidas na Instrução Normativa TCE/PI nº 06/2017. Representado(s): Raimundo Nonato Costa – Prefeito Municipal. Representante(s): Diretoria de Fiscalização de Licitações e Contratações – DFCONTRATOS. Vistos, relatados e discutidos os presentes autos, considerando o Relatório de Representação da Diretoria de Fiscalização de Licitações e Contratações – DFCONTRATOS (peça </w:t>
      </w:r>
      <w:proofErr w:type="gramStart"/>
      <w:r w:rsidRPr="00000A63">
        <w:rPr>
          <w:rFonts w:ascii="ZapfHumnst BT" w:hAnsi="ZapfHumnst BT"/>
          <w:sz w:val="23"/>
          <w:szCs w:val="23"/>
        </w:rPr>
        <w:t>4</w:t>
      </w:r>
      <w:proofErr w:type="gramEnd"/>
      <w:r w:rsidRPr="00000A63">
        <w:rPr>
          <w:rFonts w:ascii="ZapfHumnst BT" w:hAnsi="ZapfHumnst BT"/>
          <w:sz w:val="23"/>
          <w:szCs w:val="23"/>
        </w:rPr>
        <w:t xml:space="preserve">), o parecer do Ministério Público de Contas (peça 7), e o mais que dos autos consta, decidiu a Primeira Câmara, unânime, de acordo com o parecer ministerial, </w:t>
      </w:r>
      <w:r w:rsidRPr="00000A63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000A63">
        <w:rPr>
          <w:rFonts w:ascii="ZapfHumnst BT" w:hAnsi="ZapfHumnst BT"/>
          <w:sz w:val="23"/>
          <w:szCs w:val="23"/>
        </w:rPr>
        <w:t xml:space="preserve"> (peça 12), nos seguintes termos:</w:t>
      </w:r>
      <w:r w:rsidRPr="00000A63">
        <w:rPr>
          <w:rFonts w:ascii="ZapfHumnst BT" w:hAnsi="ZapfHumnst BT"/>
          <w:sz w:val="23"/>
          <w:szCs w:val="23"/>
        </w:rPr>
        <w:t xml:space="preserve"> 1. </w:t>
      </w:r>
      <w:r w:rsidRPr="00000A63">
        <w:rPr>
          <w:rFonts w:ascii="ZapfHumnst BT" w:hAnsi="ZapfHumnst BT"/>
          <w:i/>
          <w:iCs/>
          <w:sz w:val="23"/>
          <w:szCs w:val="23"/>
        </w:rPr>
        <w:t>Pelo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 xml:space="preserve"> ARQUIVAMENTO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da presente Representação, com fulcro no art. 236-A do regimento Interno desta Corte de Contas, considerando o cumprimento do aviso emitido pelo TCE-PI em 11/10/2024;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2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 xml:space="preserve">. </w:t>
      </w:r>
      <w:r w:rsidRPr="00000A63">
        <w:rPr>
          <w:rFonts w:ascii="ZapfHumnst BT" w:hAnsi="ZapfHumnst BT"/>
          <w:i/>
          <w:iCs/>
          <w:sz w:val="23"/>
          <w:szCs w:val="23"/>
        </w:rPr>
        <w:t>Pela emissão de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/>
          <w:b/>
          <w:bCs/>
          <w:i/>
          <w:iCs/>
          <w:caps/>
          <w:sz w:val="23"/>
          <w:szCs w:val="23"/>
        </w:rPr>
        <w:t>Recomendação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à Prefeitura Municipal de Nazaré do Piauí-PI para que se atente para o cumprimento da Instrução Normativa TCE/PI, quanto aos prazos de cadastro e finalização dos processos licitatórios, dispensas e inexigibilidades realizadas pelo município, bem como, do cadastro dos contratos deles decorrentes no sistema corporativo de Contratos Web.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 xml:space="preserve">); Cons. Substituto Delano Carneiro da Cunha Câmara, em substituição à Cons.ª </w:t>
      </w:r>
      <w:r w:rsidRPr="00000A63">
        <w:rPr>
          <w:rFonts w:ascii="ZapfHumnst BT" w:hAnsi="ZapfHumnst BT" w:cs="Arial"/>
          <w:sz w:val="23"/>
          <w:szCs w:val="23"/>
        </w:rPr>
        <w:lastRenderedPageBreak/>
        <w:t>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1D14A994" w14:textId="77777777" w:rsidR="00674E91" w:rsidRPr="00000A63" w:rsidRDefault="00674E91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DABB08B" w14:textId="16389B5E" w:rsidR="00674E91" w:rsidRPr="00000A63" w:rsidRDefault="00674E91" w:rsidP="00000A63">
      <w:pPr>
        <w:keepNext/>
        <w:spacing w:line="360" w:lineRule="auto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000A63">
        <w:rPr>
          <w:rFonts w:ascii="ZapfHumnst BT" w:hAnsi="ZapfHumnst BT" w:cs="Arial"/>
          <w:b/>
          <w:caps/>
          <w:sz w:val="23"/>
          <w:szCs w:val="23"/>
        </w:rPr>
        <w:t xml:space="preserve">RELATADOS PELO CONS. </w:t>
      </w:r>
      <w:r w:rsidRPr="00000A63">
        <w:rPr>
          <w:rFonts w:ascii="ZapfHumnst BT" w:hAnsi="ZapfHumnst BT" w:cs="Arial"/>
          <w:b/>
          <w:caps/>
          <w:sz w:val="23"/>
          <w:szCs w:val="23"/>
        </w:rPr>
        <w:t xml:space="preserve">substituto jackson </w:t>
      </w:r>
      <w:proofErr w:type="gramStart"/>
      <w:r w:rsidRPr="00000A63">
        <w:rPr>
          <w:rFonts w:ascii="ZapfHumnst BT" w:hAnsi="ZapfHumnst BT" w:cs="Arial"/>
          <w:b/>
          <w:caps/>
          <w:sz w:val="23"/>
          <w:szCs w:val="23"/>
        </w:rPr>
        <w:t>nobre veras</w:t>
      </w:r>
      <w:proofErr w:type="gramEnd"/>
    </w:p>
    <w:p w14:paraId="3CBA45DE" w14:textId="6D183E3F" w:rsidR="00674E91" w:rsidRPr="00000A63" w:rsidRDefault="00674E91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b/>
          <w:caps/>
        </w:rPr>
        <w:t xml:space="preserve">(Em substituíção à cons.ª </w:t>
      </w:r>
      <w:r w:rsidRPr="00000A63">
        <w:rPr>
          <w:rFonts w:ascii="ZapfHumnst BT" w:hAnsi="ZapfHumnst BT" w:cs="Arial"/>
          <w:b/>
          <w:caps/>
        </w:rPr>
        <w:t>flora izabel nobre rodrigues</w:t>
      </w:r>
      <w:r w:rsidRPr="00000A63">
        <w:rPr>
          <w:rFonts w:ascii="ZapfHumnst BT" w:hAnsi="ZapfHumnst BT" w:cs="Arial"/>
          <w:b/>
          <w:caps/>
        </w:rPr>
        <w:t>)</w:t>
      </w:r>
    </w:p>
    <w:p w14:paraId="1A4CB497" w14:textId="77777777" w:rsidR="00C242E4" w:rsidRPr="00000A63" w:rsidRDefault="00C242E4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BB8C1A0" w14:textId="6C09F8F4" w:rsidR="00C242E4" w:rsidRPr="00000A63" w:rsidRDefault="004135DE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</w:t>
      </w:r>
      <w:r w:rsidRPr="00000A63">
        <w:rPr>
          <w:rFonts w:ascii="ZapfHumnst BT" w:hAnsi="ZapfHumnst BT"/>
          <w:sz w:val="23"/>
          <w:szCs w:val="23"/>
        </w:rPr>
        <w:t xml:space="preserve"> Nº 003/2025.</w:t>
      </w:r>
      <w:r w:rsidRPr="00000A63">
        <w:rPr>
          <w:rFonts w:ascii="ZapfHumnst BT" w:hAnsi="ZapfHumnst BT"/>
          <w:b/>
          <w:bCs/>
          <w:sz w:val="23"/>
          <w:szCs w:val="23"/>
        </w:rPr>
        <w:t xml:space="preserve"> TC/008012/2024 – REPRESENTAÇÃO CONTRA A SECRETARIA MUNICIPAL DE EDUCAÇÃO DE TERESINA-PI (EXERCÍCIO FINANCEIRO DE 2024).</w:t>
      </w:r>
      <w:r w:rsidRPr="00000A63">
        <w:rPr>
          <w:rFonts w:ascii="ZapfHumnst BT" w:hAnsi="ZapfHumnst BT"/>
          <w:sz w:val="23"/>
          <w:szCs w:val="23"/>
        </w:rPr>
        <w:t xml:space="preserve"> Objeto: possível irregularidade no processo de inexigibilidade de licitação para aquisição de 04 imóveis, localizados no centro de Teresina-PI, com a finalidade de utilizá-los como unidade do ensino fundamental. Representado(s): José Pessoa Leal – Prefeito Municipal; Reinaldo Ximenes da Silva – Secretário Municipal de Educação; e Benedito Machado Araújo Filho – Gerente de Patrimônio Imobiliário Municipal. Advogado(s) do(s) Representado(s): </w:t>
      </w:r>
      <w:proofErr w:type="spellStart"/>
      <w:r w:rsidRPr="00000A63">
        <w:rPr>
          <w:rFonts w:ascii="ZapfHumnst BT" w:hAnsi="ZapfHumnst BT"/>
          <w:sz w:val="23"/>
          <w:szCs w:val="23"/>
        </w:rPr>
        <w:t>Uanderson</w:t>
      </w:r>
      <w:proofErr w:type="spellEnd"/>
      <w:r w:rsidRPr="00000A63">
        <w:rPr>
          <w:rFonts w:ascii="ZapfHumnst BT" w:hAnsi="ZapfHumnst BT"/>
          <w:sz w:val="23"/>
          <w:szCs w:val="23"/>
        </w:rPr>
        <w:t xml:space="preserve"> Ferreira da Silva (OAB/PI nº 5.456) – (Procuração: José Pessoa Leal/Prefeito Municipal – fl. 1 da peça 22.2). </w:t>
      </w:r>
      <w:bookmarkStart w:id="1" w:name="_Hlk183761509"/>
      <w:r w:rsidRPr="00000A63">
        <w:rPr>
          <w:rFonts w:ascii="ZapfHumnst BT" w:hAnsi="ZapfHumnst BT"/>
          <w:sz w:val="23"/>
          <w:szCs w:val="23"/>
        </w:rPr>
        <w:t xml:space="preserve">Representante(s): Diretoria de Fiscalização de Licitações e Contratações – DFCONTRATOS. </w:t>
      </w:r>
      <w:bookmarkEnd w:id="1"/>
      <w:r w:rsidRPr="00000A63">
        <w:rPr>
          <w:rFonts w:ascii="ZapfHumnst BT" w:hAnsi="ZapfHumnst BT"/>
          <w:sz w:val="23"/>
          <w:szCs w:val="23"/>
        </w:rPr>
        <w:t xml:space="preserve">Vistos, relatados e discutidos os presentes autos, considerando o Relatório de Representação da II Divisão Técnica da Diretoria de Fiscalização de Licitações e Contratações – DFCONTRATOS </w:t>
      </w:r>
      <w:proofErr w:type="gramStart"/>
      <w:r w:rsidRPr="00000A63">
        <w:rPr>
          <w:rFonts w:ascii="ZapfHumnst BT" w:hAnsi="ZapfHumnst BT"/>
          <w:sz w:val="23"/>
          <w:szCs w:val="23"/>
        </w:rPr>
        <w:t>2</w:t>
      </w:r>
      <w:proofErr w:type="gramEnd"/>
      <w:r w:rsidRPr="00000A63">
        <w:rPr>
          <w:rFonts w:ascii="ZapfHumnst BT" w:hAnsi="ZapfHumnst BT"/>
          <w:sz w:val="23"/>
          <w:szCs w:val="23"/>
        </w:rPr>
        <w:t xml:space="preserve"> (peça 4), a Decisão Monocrática nº 184/2024-GFI (peça 24), o Relatório de Contraditório da III Divisão Técnica da Diretoria de Fiscalização de Licitações e Contratações – DFCONTRATOS 3 (peça 29), o parecer do Ministério Público de Contas (peça 32), a sustentação oral do advogado </w:t>
      </w:r>
      <w:proofErr w:type="spellStart"/>
      <w:r w:rsidRPr="00000A63">
        <w:rPr>
          <w:rFonts w:ascii="ZapfHumnst BT" w:hAnsi="ZapfHumnst BT"/>
          <w:sz w:val="23"/>
          <w:szCs w:val="23"/>
        </w:rPr>
        <w:t>Uanderson</w:t>
      </w:r>
      <w:proofErr w:type="spellEnd"/>
      <w:r w:rsidRPr="00000A63">
        <w:rPr>
          <w:rFonts w:ascii="ZapfHumnst BT" w:hAnsi="ZapfHumnst BT"/>
          <w:sz w:val="23"/>
          <w:szCs w:val="23"/>
        </w:rPr>
        <w:t xml:space="preserve"> Ferreira da Silva (OAB/PI nº 5.456), que se reportou ao objeto da representação, e o mais que dos autos consta, decidiu a Primeira Câmara, unânime, concordando parcialmente com o parecer ministerial, </w:t>
      </w:r>
      <w:r w:rsidRPr="00000A63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000A63">
        <w:rPr>
          <w:rFonts w:ascii="ZapfHumnst BT" w:hAnsi="ZapfHumnst BT"/>
          <w:sz w:val="23"/>
          <w:szCs w:val="23"/>
        </w:rPr>
        <w:t xml:space="preserve"> (peça 37), nos seguintes termos:</w:t>
      </w:r>
      <w:r w:rsidRPr="00000A63">
        <w:rPr>
          <w:rFonts w:ascii="ZapfHumnst BT" w:hAnsi="ZapfHumnst BT"/>
          <w:sz w:val="23"/>
          <w:szCs w:val="23"/>
        </w:rPr>
        <w:t xml:space="preserve"> 1.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 xml:space="preserve">PROCEDÊNCIA 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da presente Representação;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2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 xml:space="preserve">.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SEM APLICAÇÃO DE MULTA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aos responsáveis;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3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 xml:space="preserve">.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EMISSÃO DE RECOMENDAÇÕES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ao atual Prefeito Municipal de Teresina-PI e ao atual Secretário Municipal de Educação de Teresina-PI, que deverão ser cientificados por meio da </w:t>
      </w:r>
      <w:r w:rsidRPr="00000A63">
        <w:rPr>
          <w:rFonts w:ascii="ZapfHumnst BT" w:hAnsi="ZapfHumnst BT"/>
          <w:i/>
          <w:iCs/>
          <w:sz w:val="23"/>
          <w:szCs w:val="23"/>
        </w:rPr>
        <w:lastRenderedPageBreak/>
        <w:t>publicação desta decisão no Diário Oficial, nos termos do art. 268 do RI/TCE-PI, para que: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3.1 </w:t>
      </w:r>
      <w:r w:rsidRPr="00000A63">
        <w:rPr>
          <w:rFonts w:ascii="ZapfHumnst BT" w:hAnsi="ZapfHumnst BT"/>
          <w:i/>
          <w:iCs/>
          <w:sz w:val="23"/>
          <w:szCs w:val="23"/>
        </w:rPr>
        <w:t>Nos termos de referência e editais de licitações que vierem a realizar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 xml:space="preserve"> INCLUIR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no Estudo Técnico Preliminar (ETP) do Termo de Referência (TR):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3.1.1 </w:t>
      </w:r>
      <w:r w:rsidRPr="00000A63">
        <w:rPr>
          <w:rFonts w:ascii="ZapfHumnst BT" w:hAnsi="ZapfHumnst BT"/>
          <w:i/>
          <w:iCs/>
          <w:sz w:val="23"/>
          <w:szCs w:val="23"/>
        </w:rPr>
        <w:t>Solução, custo e tempo de execução, para atender a norma que prevê a existência de quadra poliesportiva na Unidade Escolar, uma vez que a LDBEN 9.394/96 classifica a educação física como componente curricular obrigatório; inclusive, quanto à recomendação sobre a elaboração da avaliação do impacto de trânsito, pelo órgão competente;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3.1.2 </w:t>
      </w:r>
      <w:r w:rsidRPr="00000A63">
        <w:rPr>
          <w:rFonts w:ascii="ZapfHumnst BT" w:hAnsi="ZapfHumnst BT"/>
          <w:i/>
          <w:iCs/>
          <w:sz w:val="23"/>
          <w:szCs w:val="23"/>
        </w:rPr>
        <w:t>Cronograma da obra de adaptações dos imóveis, além dos custos unitário, parcial e total das etapas, englobando: a elaboração e a aprovação dos projetos; a emissão de ART e das licenças pelos órgãos competentes; e a execução da obra propriamente dita, dentre outros, prevendo claramente o tempo total até a finalização da obra e da autorização de uso, compatibilizando-o com o calendário escolar;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3.1.3 </w:t>
      </w:r>
      <w:r w:rsidRPr="00000A63">
        <w:rPr>
          <w:rFonts w:ascii="ZapfHumnst BT" w:hAnsi="ZapfHumnst BT"/>
          <w:i/>
          <w:iCs/>
          <w:sz w:val="23"/>
          <w:szCs w:val="23"/>
        </w:rPr>
        <w:t>Cronograma geral de estruturação da Unidade Escolar, que vai além do previsto para a obra de adaptações do complexo de imóveis pretendido no objeto, incluindo-o, somando-se às contratações correlatas e/ou interdependentes, tais como: concessionárias, vigilância, mobiliário, manutenção e outros;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3.1.4 </w:t>
      </w:r>
      <w:r w:rsidRPr="00000A63">
        <w:rPr>
          <w:rFonts w:ascii="ZapfHumnst BT" w:hAnsi="ZapfHumnst BT"/>
          <w:i/>
          <w:iCs/>
          <w:sz w:val="23"/>
          <w:szCs w:val="23"/>
        </w:rPr>
        <w:t>Estudo de realocação e/ou de contratação de profissionais para atender à demanda, demonstrando o custo e o tempo de execução no cronograma geral de estruturação da Unidade de Ensino;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3.2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APRESENTAR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o Plano Anual de Contratação e incluir no ETP do TR o Plano abrangendo a aquisição em tela; e no ETP a demonstração de que pagamento à vista (em vez de parcelado) não prejudicará as demais despesas correlatas, para a completa estruturação da Unidade Escolar;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3.3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INCLUIR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nos autos do TR: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3.3.1 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A comprovação das pesquisas de mercado que,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em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 xml:space="preserve">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tese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>, embasaram as 05 (cinco) amostras utilizadas nos cálculos, em suporte ao Parecer Técnico;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3.3.2 </w:t>
      </w:r>
      <w:r w:rsidRPr="00000A63">
        <w:rPr>
          <w:rFonts w:ascii="ZapfHumnst BT" w:hAnsi="ZapfHumnst BT"/>
          <w:i/>
          <w:iCs/>
          <w:sz w:val="23"/>
          <w:szCs w:val="23"/>
        </w:rPr>
        <w:t>A justificativa técnica sobre a adoção de cada fator dos atributos, utilizados nos cálculos, esclarecendo os motivos da desproporcionalidade existente, em suporte ao Parecer Técnico;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3.3.3 </w:t>
      </w:r>
      <w:r w:rsidRPr="00000A63">
        <w:rPr>
          <w:rFonts w:ascii="ZapfHumnst BT" w:hAnsi="ZapfHumnst BT"/>
          <w:i/>
          <w:iCs/>
          <w:sz w:val="23"/>
          <w:szCs w:val="23"/>
        </w:rPr>
        <w:t>A cotação, mediante pesquisa de mercado, de opções de aquisição de terreno e da construção de uma Unidade Escolar, localizado na Zona de Desenvolvimento Centro (ZDC) conforme o PDOT/2022, para fins comparativos;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3.3.4 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A equivalência do preço constante no TR e no Contrato com o da proposta escolhida pela Administração, havendo necessidade de ajustar o documento (proposta), quando o menor preço tiver valor diferente ao da pesquisa de mercado, pela Administração, </w:t>
      </w:r>
      <w:r w:rsidRPr="00000A63">
        <w:rPr>
          <w:rFonts w:ascii="ZapfHumnst BT" w:hAnsi="ZapfHumnst BT"/>
          <w:i/>
          <w:iCs/>
          <w:sz w:val="23"/>
          <w:szCs w:val="23"/>
        </w:rPr>
        <w:lastRenderedPageBreak/>
        <w:t>demonstrada no TR, a fim de evitar-se vício de consentimento e/ou enriquecimento ilícito.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Procurador Márcio André Madeira de Vasconcelos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55A08CE5" w14:textId="77777777" w:rsidR="004135DE" w:rsidRPr="00000A63" w:rsidRDefault="004135DE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E479ED6" w14:textId="77777777" w:rsidR="003C5090" w:rsidRPr="00000A63" w:rsidRDefault="00674E91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 Nº 004/2025.</w:t>
      </w:r>
      <w:r w:rsidRPr="00000A63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TC/012321/2024 – </w:t>
      </w:r>
      <w:bookmarkStart w:id="2" w:name="_Hlk179990070"/>
      <w:r w:rsidRPr="00000A63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ACÓRDÃO</w:t>
      </w:r>
      <w:r w:rsidRPr="00000A63">
        <w:rPr>
          <w:rFonts w:ascii="ZapfHumnst BT" w:hAnsi="ZapfHumnst BT" w:cs="Arial"/>
          <w:b/>
          <w:bCs/>
          <w:caps/>
          <w:sz w:val="23"/>
          <w:szCs w:val="23"/>
        </w:rPr>
        <w:t xml:space="preserve"> n° 2.067/2020-SPC, REFERENTE AO</w:t>
      </w:r>
      <w:bookmarkEnd w:id="2"/>
      <w:r w:rsidRPr="00000A63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Processo</w:t>
      </w:r>
      <w:r w:rsidRPr="00000A63">
        <w:rPr>
          <w:rFonts w:ascii="ZapfHumnst BT" w:hAnsi="ZapfHumnst BT" w:cs="Arial"/>
          <w:b/>
          <w:bCs/>
          <w:caps/>
          <w:sz w:val="23"/>
          <w:szCs w:val="23"/>
        </w:rPr>
        <w:t xml:space="preserve"> TC/012028/2014 </w:t>
      </w:r>
      <w:r w:rsidRPr="00000A63">
        <w:rPr>
          <w:rFonts w:ascii="ZapfHumnst BT" w:hAnsi="ZapfHumnst BT"/>
          <w:b/>
          <w:bCs/>
          <w:caps/>
          <w:sz w:val="23"/>
          <w:szCs w:val="23"/>
          <w:lang w:val="en-US"/>
        </w:rPr>
        <w:t>(APOSENTADORIA COMPULSÓRIA COM PROVENTOS PROPORCIONAIS AO TEMPO DE CONTRIBUIÇÃO</w:t>
      </w:r>
      <w:r w:rsidRPr="00000A63">
        <w:rPr>
          <w:rFonts w:ascii="ZapfHumnst BT" w:hAnsi="ZapfHumnst BT" w:cs="Arial"/>
          <w:b/>
          <w:bCs/>
          <w:caps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000A63">
        <w:rPr>
          <w:rFonts w:ascii="ZapfHumnst BT" w:hAnsi="ZapfHumnst BT" w:cs="Arial"/>
          <w:sz w:val="23"/>
          <w:szCs w:val="23"/>
          <w:lang w:val="pt-PT"/>
        </w:rPr>
        <w:t xml:space="preserve"> Flávio Chaib – Presidente da Fundação PIAUÍ PREVIDÊNCIA</w:t>
      </w:r>
      <w:r w:rsidRPr="00000A63">
        <w:rPr>
          <w:rFonts w:ascii="ZapfHumnst BT" w:hAnsi="ZapfHumnst BT" w:cs="Arial"/>
          <w:sz w:val="23"/>
          <w:szCs w:val="23"/>
        </w:rPr>
        <w:t>.</w:t>
      </w:r>
      <w:r w:rsidRPr="00000A63">
        <w:rPr>
          <w:rFonts w:ascii="ZapfHumnst BT" w:hAnsi="ZapfHumnst BT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sz w:val="23"/>
          <w:szCs w:val="23"/>
        </w:rPr>
        <w:t xml:space="preserve">Vistos, relatados e discutidos os presentes autos, considerando o Acórdão n° 2.067/2020-SPC (fls. 1/2 da peça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2</w:t>
      </w:r>
      <w:proofErr w:type="gramEnd"/>
      <w:r w:rsidRPr="00000A63">
        <w:rPr>
          <w:rFonts w:ascii="ZapfHumnst BT" w:hAnsi="ZapfHumnst BT" w:cs="Arial"/>
          <w:sz w:val="23"/>
          <w:szCs w:val="23"/>
        </w:rPr>
        <w:t xml:space="preserve"> do processo </w:t>
      </w:r>
      <w:r w:rsidRPr="00000A63">
        <w:rPr>
          <w:rFonts w:ascii="ZapfHumnst BT" w:hAnsi="ZapfHumnst BT" w:cs="Arial"/>
          <w:caps/>
          <w:noProof/>
          <w:sz w:val="23"/>
          <w:szCs w:val="23"/>
        </w:rPr>
        <w:t>TC/012321/2024</w:t>
      </w:r>
      <w:r w:rsidRPr="00000A63">
        <w:rPr>
          <w:rFonts w:ascii="ZapfHumnst BT" w:hAnsi="ZapfHumnst BT" w:cs="Arial"/>
          <w:noProof/>
          <w:sz w:val="23"/>
          <w:szCs w:val="23"/>
        </w:rPr>
        <w:t>), o</w:t>
      </w:r>
      <w:r w:rsidRPr="00000A63">
        <w:rPr>
          <w:rFonts w:ascii="ZapfHumnst BT" w:hAnsi="ZapfHumnst BT" w:cs="Arial"/>
          <w:sz w:val="23"/>
          <w:szCs w:val="23"/>
        </w:rPr>
        <w:t xml:space="preserve"> Relatório Preliminar da Divisão de Fiscalização de Aposentadorias, Reformas e Pensões – DFPESSOAL 3 (peça 20 do processo </w:t>
      </w:r>
      <w:r w:rsidRPr="00000A63">
        <w:rPr>
          <w:rFonts w:ascii="ZapfHumnst BT" w:hAnsi="ZapfHumnst BT" w:cs="Arial"/>
          <w:caps/>
          <w:noProof/>
          <w:sz w:val="23"/>
          <w:szCs w:val="23"/>
        </w:rPr>
        <w:t>TC/012321/2024</w:t>
      </w:r>
      <w:r w:rsidRPr="00000A63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000A63">
        <w:rPr>
          <w:rFonts w:ascii="ZapfHumnst BT" w:hAnsi="ZapfHumnst BT" w:cs="Arial"/>
          <w:sz w:val="23"/>
          <w:szCs w:val="23"/>
        </w:rPr>
        <w:t xml:space="preserve">o parecer do Ministério Público de Contas (peças 5 e 21 do processo </w:t>
      </w:r>
      <w:r w:rsidRPr="00000A63">
        <w:rPr>
          <w:rFonts w:ascii="ZapfHumnst BT" w:hAnsi="ZapfHumnst BT" w:cs="Arial"/>
          <w:caps/>
          <w:noProof/>
          <w:sz w:val="23"/>
          <w:szCs w:val="23"/>
        </w:rPr>
        <w:t>TC/012321/2024</w:t>
      </w:r>
      <w:r w:rsidRPr="00000A63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000A63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000A63">
        <w:rPr>
          <w:rFonts w:ascii="ZapfHumnst BT" w:hAnsi="ZapfHumnst BT" w:cs="Arial"/>
          <w:sz w:val="23"/>
          <w:szCs w:val="23"/>
        </w:rPr>
        <w:t>conforme e pelos fundamentos expostos no voto do Relator</w:t>
      </w:r>
      <w:r w:rsidRPr="00000A63">
        <w:rPr>
          <w:rFonts w:ascii="ZapfHumnst BT" w:hAnsi="ZapfHumnst BT"/>
          <w:sz w:val="23"/>
          <w:szCs w:val="23"/>
        </w:rPr>
        <w:t xml:space="preserve"> (peça 26), nos seguintes termos:</w:t>
      </w:r>
      <w:r w:rsidR="00AF0FAA" w:rsidRPr="00000A63">
        <w:rPr>
          <w:rFonts w:ascii="ZapfHumnst BT" w:hAnsi="ZapfHumnst BT"/>
          <w:sz w:val="23"/>
          <w:szCs w:val="23"/>
        </w:rPr>
        <w:t xml:space="preserve"> a) </w:t>
      </w:r>
      <w:r w:rsidRPr="00000A63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dos presentes autos.</w:t>
      </w:r>
      <w:r w:rsidR="00AF0FAA"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="00AF0FAA"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="00AF0FAA"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="00AF0FAA" w:rsidRPr="00000A63">
        <w:rPr>
          <w:rFonts w:ascii="ZapfHumnst BT" w:hAnsi="ZapfHumnst BT" w:cs="Arial"/>
          <w:sz w:val="23"/>
          <w:szCs w:val="23"/>
        </w:rPr>
        <w:t xml:space="preserve"> </w:t>
      </w:r>
    </w:p>
    <w:p w14:paraId="389FE7B2" w14:textId="77777777" w:rsidR="003C5090" w:rsidRPr="00000A63" w:rsidRDefault="003C5090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0B4A0888" w14:textId="0CA532F0" w:rsidR="004135DE" w:rsidRPr="00000A63" w:rsidRDefault="0062330F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 Nº 005/2025.</w:t>
      </w:r>
      <w:r w:rsidRPr="00000A63">
        <w:rPr>
          <w:rFonts w:ascii="ZapfHumnst BT" w:hAnsi="ZapfHumnst BT" w:cs="Arial"/>
          <w:b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noProof/>
          <w:sz w:val="23"/>
          <w:szCs w:val="23"/>
        </w:rPr>
        <w:t>TC/011323/2023 – INSPEÇÃO DA PREFEITURA MUNICIPAL DE URUÇUÍ-PI (EXERCÍCIO FINANCEIRO DE 2023)</w:t>
      </w:r>
      <w:r w:rsidRPr="00000A63">
        <w:rPr>
          <w:rFonts w:ascii="ZapfHumnst BT" w:hAnsi="ZapfHumnst BT" w:cs="Arial"/>
          <w:sz w:val="23"/>
          <w:szCs w:val="23"/>
        </w:rPr>
        <w:t xml:space="preserve">. Objeto: fiscalizar os processos licitatórios realizados no âmbito do referido município, </w:t>
      </w:r>
      <w:r w:rsidRPr="00000A63">
        <w:rPr>
          <w:rFonts w:ascii="ZapfHumnst BT" w:hAnsi="ZapfHumnst BT" w:cs="Arial"/>
          <w:sz w:val="23"/>
          <w:szCs w:val="23"/>
        </w:rPr>
        <w:lastRenderedPageBreak/>
        <w:t>previamente selecionados por amostragem.</w:t>
      </w:r>
      <w:r w:rsidRPr="00000A63">
        <w:rPr>
          <w:rFonts w:ascii="ZapfHumnst BT" w:hAnsi="ZapfHumnst BT"/>
          <w:sz w:val="23"/>
          <w:szCs w:val="23"/>
        </w:rPr>
        <w:t xml:space="preserve">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000A63">
        <w:rPr>
          <w:rFonts w:ascii="ZapfHumnst BT" w:hAnsi="ZapfHumnst BT" w:cs="Arial"/>
          <w:sz w:val="23"/>
          <w:szCs w:val="23"/>
        </w:rPr>
        <w:t>is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): Francisco Wagner Pires Coelho – Prefeito Municipal;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Geovan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Freitas de Abreu Messias – Representante da empresa “G F COMERCIAL LTDA”; Thaisa Costa Barros – Representante da empresa “T COSTA BARROS EIRELI”;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Tiberio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Pereira Martins – Representante da empresa “WILSON PEREIRA MARTINS E CIA LTDA”;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Edilberto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Lopes Costa – Representante da empresa “EDILBERTO L. COSTA CONSTRUÇÃO-ME”; e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Perila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Silva Galvão – Representante da empresa “PERILA SILVA GALVÃO-ME”. Advogado(s): Marcus Vinícius Santos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Spíndola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Rodrigues (OAB/PI nº 12.276) – (Procuração: Francisco Wagner Pires Coelho/Prefeito Municipal – fl. 1 da peça 45.2); e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Markson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000A63">
        <w:rPr>
          <w:rFonts w:ascii="ZapfHumnst BT" w:hAnsi="ZapfHumnst BT" w:cs="Arial"/>
          <w:sz w:val="23"/>
          <w:szCs w:val="23"/>
        </w:rPr>
        <w:t>Wester</w:t>
      </w:r>
      <w:proofErr w:type="spellEnd"/>
      <w:r w:rsidRPr="00000A63">
        <w:rPr>
          <w:rFonts w:ascii="ZapfHumnst BT" w:hAnsi="ZapfHumnst BT" w:cs="Arial"/>
          <w:sz w:val="23"/>
          <w:szCs w:val="23"/>
        </w:rPr>
        <w:t xml:space="preserve"> de Andrade (OAB/GO nº 26.207) e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000A63">
        <w:rPr>
          <w:rFonts w:ascii="ZapfHumnst BT" w:hAnsi="ZapfHumnst BT" w:cs="Arial"/>
          <w:sz w:val="23"/>
          <w:szCs w:val="23"/>
        </w:rPr>
        <w:t xml:space="preserve"> – (Procuração: empresa “WILSON PEREIRA MARTINS E CIA LTDA” – fl. 1 da peça 42.3). Vistos, relatados e discutidos os presentes autos, considerando o Relatório de Inspeção da I Divisão Técnica da Diretoria de Fiscalização de Licitações e Contratações – DFCONTRATOS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1</w:t>
      </w:r>
      <w:proofErr w:type="gramEnd"/>
      <w:r w:rsidRPr="00000A63">
        <w:rPr>
          <w:rFonts w:ascii="ZapfHumnst BT" w:hAnsi="ZapfHumnst BT" w:cs="Arial"/>
          <w:sz w:val="23"/>
          <w:szCs w:val="23"/>
        </w:rPr>
        <w:t xml:space="preserve"> (peça 12), o Relatório de Contraditório da III Divisão Técnica da Diretoria de Fiscalização de Licitações e Contratações – DFCONTRATOS 3 (peça 49), o parecer do Ministério Público de Contas (peça 52), e o mais que dos autos consta, decidiu a Primeira Câmara, unânime, de acordo com a manifestação </w:t>
      </w:r>
      <w:r w:rsidRPr="00000A63">
        <w:rPr>
          <w:rFonts w:ascii="ZapfHumnst BT" w:hAnsi="ZapfHumnst BT"/>
          <w:sz w:val="23"/>
          <w:szCs w:val="23"/>
        </w:rPr>
        <w:t xml:space="preserve">do Ministério Público de Contas, </w:t>
      </w:r>
      <w:r w:rsidRPr="00000A63">
        <w:rPr>
          <w:rFonts w:ascii="ZapfHumnst BT" w:hAnsi="ZapfHumnst BT" w:cs="Arial"/>
          <w:sz w:val="23"/>
          <w:szCs w:val="23"/>
        </w:rPr>
        <w:t>conforme e pelos fundamentos expostos no voto do Relator (peça 59), nos seguintes termos:</w:t>
      </w:r>
      <w:r w:rsidRPr="00000A63">
        <w:rPr>
          <w:rFonts w:ascii="ZapfHumnst BT" w:hAnsi="ZapfHumnst BT" w:cs="Arial"/>
          <w:sz w:val="23"/>
          <w:szCs w:val="23"/>
        </w:rPr>
        <w:t xml:space="preserve"> 1.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PROCEDÊNCIA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dos achados desta Inspeção, realizada no âmbito da Prefeitura Municipal de </w:t>
      </w:r>
      <w:proofErr w:type="gramStart"/>
      <w:r w:rsidRPr="00000A63">
        <w:rPr>
          <w:rFonts w:ascii="ZapfHumnst BT" w:hAnsi="ZapfHumnst BT" w:cs="Arial"/>
          <w:i/>
          <w:iCs/>
          <w:sz w:val="23"/>
          <w:szCs w:val="23"/>
        </w:rPr>
        <w:t>Uruçuí-PI</w:t>
      </w:r>
      <w:proofErr w:type="gramEnd"/>
      <w:r w:rsidRPr="00000A63">
        <w:rPr>
          <w:rFonts w:ascii="ZapfHumnst BT" w:hAnsi="ZapfHumnst BT" w:cs="Arial"/>
          <w:i/>
          <w:iCs/>
          <w:sz w:val="23"/>
          <w:szCs w:val="23"/>
        </w:rPr>
        <w:t>;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EMISSÃO DE DETERMINAÇÕES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ao atual prefeito de URUÇUÍ-PI, para que: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2.1 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Na instrução dos processos licitatórios, na fase interna,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APRIMORE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 fase de planejamento das licitações e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FAÇA CONSTAR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nos autos dos processos licitatórios, as justificativas dos quantitativos de bens e serviços a serem adquiridos, os quais devem ser suficientes ao atendimento da demanda do setor requisitante;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2.2 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Nos termos de referência e editais de licitações que vierem a realizar,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PROCEDA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à descrição do objeto contendo as características essenciais dos itens que serão contratados, com vista a dar cumprimento ao art. 3º, incisos I e II, da Lei n.º 10.520/02;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2.3 </w:t>
      </w:r>
      <w:proofErr w:type="gramStart"/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GLOSE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e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REALIZE</w:t>
      </w:r>
      <w:proofErr w:type="gramEnd"/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 compensação nos pagamentos porventura pendentes dos valores dos itens com </w:t>
      </w:r>
      <w:proofErr w:type="spellStart"/>
      <w:r w:rsidRPr="00000A63">
        <w:rPr>
          <w:rFonts w:ascii="ZapfHumnst BT" w:hAnsi="ZapfHumnst BT" w:cs="Arial"/>
          <w:i/>
          <w:iCs/>
          <w:sz w:val="23"/>
          <w:szCs w:val="23"/>
        </w:rPr>
        <w:t>sobrepreços</w:t>
      </w:r>
      <w:proofErr w:type="spellEnd"/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fornecidos pela empresa G F COMERCIAL LTDA – CNPJ 40.420.742/0001-90 e T COSTA BARROS EIRELI (CNPJ: 27.168.993/0001-61), decorrente do Pregão Eletrônico n° 002/2023; EDILBERTO L. COSTA CONSTRUÇÃO-ME (CNPJ: 05.905.537/0001-14) e empresa PERILA SILVA GALVÃO - ME (CNPJ: </w:t>
      </w:r>
      <w:r w:rsidRPr="00000A63">
        <w:rPr>
          <w:rFonts w:ascii="ZapfHumnst BT" w:hAnsi="ZapfHumnst BT" w:cs="Arial"/>
          <w:i/>
          <w:iCs/>
          <w:sz w:val="23"/>
          <w:szCs w:val="23"/>
        </w:rPr>
        <w:lastRenderedPageBreak/>
        <w:t>17.327.022/0001-63), decorrente do Pregão Presencial nº 018/2022, conforme item 3.1 do Relatório de Inspeção;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2.4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CONSIDERE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para efeito de aquisição dos itens dos contratos com as empresas G F COMERCIAL LTDA – CNPJ 40.420.742/0001-90, T COSTABARROS EIRELI (CNPJ: 27.168.993/0001-61), EDILBERTO L. COSTA CONSTRUÇÃO-ME (CNPJ: 05.905.537/0001-14) e PERILA SILVA GALVÃO - ME (CNPJ: 17.327.022/0001-63), os preços médios realizados por outros órgãos públicos, em detrimento dos mais elevados, a fim de que não haja prejuízo para a população local e nem para o erário municipal;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2.5 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Em razão do </w:t>
      </w:r>
      <w:proofErr w:type="spellStart"/>
      <w:r w:rsidRPr="00000A63">
        <w:rPr>
          <w:rFonts w:ascii="ZapfHumnst BT" w:hAnsi="ZapfHumnst BT" w:cs="Arial"/>
          <w:i/>
          <w:iCs/>
          <w:sz w:val="23"/>
          <w:szCs w:val="23"/>
        </w:rPr>
        <w:t>sobrepreço</w:t>
      </w:r>
      <w:proofErr w:type="spellEnd"/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verificado,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PROVIDENCIE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após a ciência do relatório técnico, caso necessário, a imediata abertura de processo licitatório para aquisição dos materiais médico hospitalares, como forma de suprir as demandas existentes por tal objeto, mantendo a contratação para os itens estritamente necessários, delineando as respectivas justificativas, enquanto não concluída uma nova licitação;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2.6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ADOTE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providências no sentido de promoção da efetiva fiscalização contratual de modo que se estabeleçam mecanismos de controles para evitar a execução do contrato de forma diversa da pactuada.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3.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EMISSÃO DE RECOMENDAÇÃO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ao atual prefeito de URUÇUÍ-PI, que deverá ser cientificado por meio da publicação desta decisão no Diário Oficial, nos termos do art. 268 do RI/TCE-PI, para que: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3.1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PROMOVA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 capacitação dos </w:t>
      </w:r>
      <w:proofErr w:type="gramStart"/>
      <w:r w:rsidRPr="00000A63">
        <w:rPr>
          <w:rFonts w:ascii="ZapfHumnst BT" w:hAnsi="ZapfHumnst BT" w:cs="Arial"/>
          <w:i/>
          <w:iCs/>
          <w:sz w:val="23"/>
          <w:szCs w:val="23"/>
        </w:rPr>
        <w:t>agentes/servidores</w:t>
      </w:r>
      <w:proofErr w:type="gramEnd"/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que atuam com contratações públicas no referido município desde a fase preparatório até a de fiscalização da execução contratual, para que estes possam realizar tais procedimentos da melhor forma possível, conduzindo-os adequadamente, dentro da legalidade, e para que estes possam bem desempenhar suas funções e fazer um bom e correto uso do dinheiro público.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sz w:val="23"/>
          <w:szCs w:val="23"/>
        </w:rPr>
        <w:t xml:space="preserve">Decidiu a Primeira Câmara, ainda, por maioria, de acordo com a manifestação </w:t>
      </w:r>
      <w:r w:rsidRPr="00000A63">
        <w:rPr>
          <w:rFonts w:ascii="ZapfHumnst BT" w:hAnsi="ZapfHumnst BT"/>
          <w:sz w:val="23"/>
          <w:szCs w:val="23"/>
        </w:rPr>
        <w:t xml:space="preserve">do Ministério Público de Contas, </w:t>
      </w:r>
      <w:r w:rsidRPr="00000A63">
        <w:rPr>
          <w:rFonts w:ascii="ZapfHumnst BT" w:hAnsi="ZapfHumnst BT" w:cs="Arial"/>
          <w:sz w:val="23"/>
          <w:szCs w:val="23"/>
        </w:rPr>
        <w:t>conforme e pelos fundamentos expostos no voto do Relator (peça 57), nos seguintes termos: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1</w:t>
      </w:r>
      <w:proofErr w:type="gramEnd"/>
      <w:r w:rsidRPr="00000A63">
        <w:rPr>
          <w:rFonts w:ascii="ZapfHumnst BT" w:hAnsi="ZapfHumnst BT" w:cs="Arial"/>
          <w:sz w:val="23"/>
          <w:szCs w:val="23"/>
        </w:rPr>
        <w:t xml:space="preserve">.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APLICAÇÃO DE MULTA de 800 UFR-PI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ao Sr. Francisco Wagner Pires Coelho (Prefeito), nos termos do artigo 206, VIII do RI/TCE-PI.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VENCIDO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o Cons. Substituto Delano Carneiro da Cunha Câmara que votou pela aplicação de multa ao gestor supracitado no valor correspondente de 500 UFR-PI.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lastRenderedPageBreak/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="00674E91"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="00674E91"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="00674E91"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="00674E91"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="00674E91"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="00674E91" w:rsidRPr="00000A63">
        <w:rPr>
          <w:rFonts w:ascii="ZapfHumnst BT" w:hAnsi="ZapfHumnst BT" w:cs="Arial"/>
          <w:sz w:val="23"/>
          <w:szCs w:val="23"/>
        </w:rPr>
        <w:t>).</w:t>
      </w:r>
    </w:p>
    <w:p w14:paraId="6B2F51D8" w14:textId="77777777" w:rsidR="0062330F" w:rsidRPr="00000A63" w:rsidRDefault="0062330F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163AADB" w14:textId="77777777" w:rsidR="0062330F" w:rsidRPr="00000A63" w:rsidRDefault="0062330F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4D19051" w14:textId="3CD959AC" w:rsidR="00954150" w:rsidRPr="00000A63" w:rsidRDefault="00954150" w:rsidP="00000A6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000A63">
        <w:rPr>
          <w:rFonts w:ascii="ZapfHumnst BT" w:hAnsi="ZapfHumnst BT" w:cs="Arial"/>
          <w:b/>
          <w:sz w:val="23"/>
          <w:szCs w:val="23"/>
        </w:rPr>
        <w:t>RELAT</w:t>
      </w:r>
      <w:r w:rsidR="00563C83" w:rsidRPr="00000A63">
        <w:rPr>
          <w:rFonts w:ascii="ZapfHumnst BT" w:hAnsi="ZapfHumnst BT" w:cs="Arial"/>
          <w:b/>
          <w:sz w:val="23"/>
          <w:szCs w:val="23"/>
        </w:rPr>
        <w:t>AD</w:t>
      </w:r>
      <w:r w:rsidRPr="00000A63">
        <w:rPr>
          <w:rFonts w:ascii="ZapfHumnst BT" w:hAnsi="ZapfHumnst BT" w:cs="Arial"/>
          <w:b/>
          <w:sz w:val="23"/>
          <w:szCs w:val="23"/>
        </w:rPr>
        <w:t>O</w:t>
      </w:r>
      <w:r w:rsidR="00563C83" w:rsidRPr="00000A63">
        <w:rPr>
          <w:rFonts w:ascii="ZapfHumnst BT" w:hAnsi="ZapfHumnst BT" w:cs="Arial"/>
          <w:b/>
          <w:sz w:val="23"/>
          <w:szCs w:val="23"/>
        </w:rPr>
        <w:t>S PELO</w:t>
      </w:r>
      <w:r w:rsidRPr="00000A63">
        <w:rPr>
          <w:rFonts w:ascii="ZapfHumnst BT" w:hAnsi="ZapfHumnst BT" w:cs="Arial"/>
          <w:b/>
          <w:sz w:val="23"/>
          <w:szCs w:val="23"/>
        </w:rPr>
        <w:t xml:space="preserve"> CONS. SUBSTITUTO JACKSON </w:t>
      </w:r>
      <w:proofErr w:type="gramStart"/>
      <w:r w:rsidRPr="00000A63">
        <w:rPr>
          <w:rFonts w:ascii="ZapfHumnst BT" w:hAnsi="ZapfHumnst BT" w:cs="Arial"/>
          <w:b/>
          <w:sz w:val="23"/>
          <w:szCs w:val="23"/>
        </w:rPr>
        <w:t>NOBRE VERAS</w:t>
      </w:r>
      <w:proofErr w:type="gramEnd"/>
    </w:p>
    <w:p w14:paraId="54240E60" w14:textId="77777777" w:rsidR="004F522D" w:rsidRPr="00000A63" w:rsidRDefault="004F522D" w:rsidP="00000A63">
      <w:pPr>
        <w:spacing w:line="360" w:lineRule="auto"/>
        <w:rPr>
          <w:rFonts w:ascii="ZapfHumnst BT" w:hAnsi="ZapfHumnst BT" w:cs="Arial"/>
          <w:b/>
          <w:sz w:val="23"/>
          <w:szCs w:val="23"/>
        </w:rPr>
      </w:pPr>
      <w:bookmarkStart w:id="3" w:name="_GoBack"/>
      <w:bookmarkEnd w:id="3"/>
    </w:p>
    <w:p w14:paraId="69886E94" w14:textId="1F6AF047" w:rsidR="003C5090" w:rsidRPr="00000A63" w:rsidRDefault="003C5090" w:rsidP="00000A63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</w:t>
      </w:r>
      <w:r w:rsidRPr="00000A63">
        <w:rPr>
          <w:rFonts w:ascii="ZapfHumnst BT" w:hAnsi="ZapfHumnst BT"/>
          <w:sz w:val="23"/>
          <w:szCs w:val="23"/>
        </w:rPr>
        <w:t xml:space="preserve"> Nº 006/2025.</w:t>
      </w:r>
      <w:r w:rsidRPr="00000A63">
        <w:rPr>
          <w:rFonts w:ascii="ZapfHumnst BT" w:hAnsi="ZapfHumnst BT"/>
          <w:b/>
          <w:bCs/>
          <w:sz w:val="23"/>
          <w:szCs w:val="23"/>
        </w:rPr>
        <w:t xml:space="preserve"> TC/013457/2023 – REPRESENTAÇÃO CONTRA A PREFEITURA MUNICIPAL DE PEDRO II-PI (EXERCÍCIO FINANCEIRO DE 2023).</w:t>
      </w:r>
      <w:r w:rsidRPr="00000A63">
        <w:rPr>
          <w:rFonts w:ascii="ZapfHumnst BT" w:hAnsi="ZapfHumnst BT"/>
          <w:sz w:val="23"/>
          <w:szCs w:val="23"/>
        </w:rPr>
        <w:t xml:space="preserve"> Objeto: suposto uso indevido de ajuda de custo com comissionados e contratados. Representado(s): Elisabete Rodrigues de Oliveira Nunes Brandão – Prefeita Municipal. Advogado(s) do(s) Representado(s): Fernando Ferreira Correia Lima (OAB/PI nº 6.466) e </w:t>
      </w:r>
      <w:r w:rsidRPr="00000A63">
        <w:rPr>
          <w:rFonts w:ascii="ZapfHumnst BT" w:hAnsi="ZapfHumnst BT"/>
          <w:i/>
          <w:iCs/>
          <w:sz w:val="23"/>
          <w:szCs w:val="23"/>
        </w:rPr>
        <w:t>outros</w:t>
      </w:r>
      <w:r w:rsidRPr="00000A63">
        <w:rPr>
          <w:rFonts w:ascii="ZapfHumnst BT" w:hAnsi="ZapfHumnst BT"/>
          <w:sz w:val="23"/>
          <w:szCs w:val="23"/>
        </w:rPr>
        <w:t xml:space="preserve"> – (Procuração: Elisabete Rodrigues de Oliveira Nunes Brandão/Prefeita Municipal – fl. 01 da peça 26.2 e fl. 01 da peça 32.2). </w:t>
      </w:r>
      <w:r w:rsidRPr="00000A63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do Exmo. Sr. Cons. Kleber Dantas Eulálio (Presidente da Primeira Câmara,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  <w:r w:rsidRPr="00000A63">
        <w:rPr>
          <w:rFonts w:ascii="ZapfHumnst BT" w:hAnsi="ZapfHumnst BT" w:cs="Arial"/>
          <w:sz w:val="23"/>
          <w:szCs w:val="23"/>
        </w:rPr>
        <w:t xml:space="preserve">), 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000A63">
        <w:rPr>
          <w:rFonts w:ascii="ZapfHumnst BT" w:hAnsi="ZapfHumnst BT" w:cs="Arial"/>
          <w:sz w:val="23"/>
          <w:szCs w:val="23"/>
        </w:rPr>
        <w:t>o presente processo pelo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prazo de </w:t>
      </w:r>
      <w:proofErr w:type="gramStart"/>
      <w:r w:rsidRPr="00000A63">
        <w:rPr>
          <w:rFonts w:ascii="ZapfHumnst BT" w:hAnsi="ZapfHumnst BT" w:cs="Arial"/>
          <w:b/>
          <w:bCs/>
          <w:sz w:val="23"/>
          <w:szCs w:val="23"/>
        </w:rPr>
        <w:t>1</w:t>
      </w:r>
      <w:proofErr w:type="gramEnd"/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(uma) sessão de julgamento</w:t>
      </w:r>
      <w:r w:rsidRPr="00000A63">
        <w:rPr>
          <w:rFonts w:ascii="ZapfHumnst BT" w:hAnsi="ZapfHumnst BT" w:cs="Arial"/>
          <w:sz w:val="23"/>
          <w:szCs w:val="23"/>
        </w:rPr>
        <w:t xml:space="preserve">  em razão das ausências da Cons.ª Flora Izabel Nobre Rodrigues e da Cons.ª Rejane Ribeiro Sousa Dias e, por consequência, da </w:t>
      </w:r>
      <w:r w:rsidRPr="00000A63">
        <w:rPr>
          <w:rFonts w:ascii="ZapfHumnst BT" w:hAnsi="ZapfHumnst BT" w:cs="Arial"/>
          <w:b/>
          <w:sz w:val="23"/>
          <w:szCs w:val="23"/>
        </w:rPr>
        <w:t>impossibilidade de se repetir a mesma composição votante do Colegiado que iniciou o julgamento deste processo</w:t>
      </w:r>
      <w:r w:rsidRPr="00000A63">
        <w:rPr>
          <w:rFonts w:ascii="ZapfHumnst BT" w:hAnsi="ZapfHumnst BT" w:cs="Arial"/>
          <w:sz w:val="23"/>
          <w:szCs w:val="23"/>
        </w:rPr>
        <w:t xml:space="preserve"> na sessão do dia 17/12/2024 (</w:t>
      </w:r>
      <w:r w:rsidRPr="00000A63">
        <w:rPr>
          <w:rFonts w:ascii="ZapfHumnst BT" w:hAnsi="ZapfHumnst BT" w:cs="Arial"/>
          <w:i/>
          <w:sz w:val="23"/>
          <w:szCs w:val="23"/>
        </w:rPr>
        <w:t>Decisão nº 415/2024</w:t>
      </w:r>
      <w:r w:rsidRPr="00000A63">
        <w:rPr>
          <w:rFonts w:ascii="ZapfHumnst BT" w:hAnsi="ZapfHumnst BT" w:cs="Arial"/>
          <w:sz w:val="23"/>
          <w:szCs w:val="23"/>
        </w:rPr>
        <w:t xml:space="preserve"> – peça 42). Assim, o referido processo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04/02/2025</w:t>
      </w:r>
      <w:r w:rsidRPr="00000A63">
        <w:rPr>
          <w:rFonts w:ascii="ZapfHumnst BT" w:hAnsi="ZapfHumnst BT" w:cs="Arial"/>
          <w:sz w:val="23"/>
          <w:szCs w:val="23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 xml:space="preserve">: </w:t>
      </w:r>
      <w:r w:rsidRPr="00000A63">
        <w:rPr>
          <w:rFonts w:ascii="ZapfHumnst BT" w:hAnsi="ZapfHumnst BT" w:cs="Arial"/>
          <w:sz w:val="23"/>
          <w:szCs w:val="23"/>
        </w:rPr>
        <w:lastRenderedPageBreak/>
        <w:t>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32071894" w14:textId="77777777" w:rsidR="003C5090" w:rsidRPr="00000A63" w:rsidRDefault="003C5090" w:rsidP="00000A63">
      <w:pPr>
        <w:spacing w:line="360" w:lineRule="auto"/>
        <w:rPr>
          <w:rFonts w:ascii="ZapfHumnst BT" w:hAnsi="ZapfHumnst BT" w:cs="Arial"/>
          <w:b/>
          <w:sz w:val="23"/>
          <w:szCs w:val="23"/>
        </w:rPr>
      </w:pPr>
    </w:p>
    <w:p w14:paraId="6490A9A9" w14:textId="5B090941" w:rsidR="003C5090" w:rsidRPr="00000A63" w:rsidRDefault="00297AA2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 Nº 007/2025.</w:t>
      </w:r>
      <w:r w:rsidRPr="00000A63">
        <w:rPr>
          <w:rFonts w:ascii="ZapfHumnst BT" w:hAnsi="ZapfHumnst BT" w:cs="Arial"/>
          <w:b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noProof/>
          <w:sz w:val="23"/>
          <w:szCs w:val="23"/>
        </w:rPr>
        <w:t>TC/004406/2022 – PRESTAÇÃO DE CONTAS DE GOVERNO DA PREFEITURA MUNICIPAL DE NOVO ORIENTE DO PIAUÍ-PI (EXERCÍCIO FINANCEIRO DE 2022)</w:t>
      </w:r>
      <w:r w:rsidRPr="00000A63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000A63">
        <w:rPr>
          <w:rFonts w:ascii="ZapfHumnst BT" w:hAnsi="ZapfHumnst BT" w:cs="Arial"/>
          <w:sz w:val="23"/>
          <w:szCs w:val="23"/>
        </w:rPr>
        <w:t>is</w:t>
      </w:r>
      <w:proofErr w:type="spellEnd"/>
      <w:r w:rsidRPr="00000A63">
        <w:rPr>
          <w:rFonts w:ascii="ZapfHumnst BT" w:hAnsi="ZapfHumnst BT" w:cs="Arial"/>
          <w:sz w:val="23"/>
          <w:szCs w:val="23"/>
        </w:rPr>
        <w:t>):</w:t>
      </w:r>
      <w:r w:rsidRPr="00000A63">
        <w:rPr>
          <w:rFonts w:ascii="ZapfHumnst BT" w:hAnsi="ZapfHumnst BT" w:cs="Arial"/>
          <w:sz w:val="23"/>
          <w:szCs w:val="23"/>
          <w:lang w:val="pt-PT"/>
        </w:rPr>
        <w:t xml:space="preserve"> Francisco Afonso Ribeiro Sobreira – Prefeito Municipal.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 Advogado(s): José Maria de Araújo Costa (OAB/PI nº 6.761) – (Procuração: Francisco Afonso Ribeiro Sobreira/Prefeito Municipal – fl. 1 da peça 9.2)</w:t>
      </w:r>
      <w:r w:rsidRPr="00000A63">
        <w:rPr>
          <w:rFonts w:ascii="ZapfHumnst BT" w:hAnsi="ZapfHumnst BT" w:cs="Helvetica"/>
          <w:sz w:val="23"/>
          <w:szCs w:val="23"/>
        </w:rPr>
        <w:t>. Processo(s) apensado(s):</w:t>
      </w:r>
      <w:r w:rsidRPr="00000A63">
        <w:rPr>
          <w:rFonts w:ascii="ZapfHumnst BT" w:hAnsi="ZapfHumnst BT" w:cs="Helvetica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Helvetica"/>
          <w:b/>
          <w:bCs/>
          <w:i/>
          <w:iCs/>
          <w:sz w:val="23"/>
          <w:szCs w:val="23"/>
        </w:rPr>
        <w:t>TC/012225/2022 –</w:t>
      </w:r>
      <w:r w:rsidRPr="00000A63">
        <w:rPr>
          <w:rFonts w:ascii="ZapfHumnst BT" w:hAnsi="ZapfHumnst BT" w:cs="Helvetica"/>
          <w:i/>
          <w:iCs/>
          <w:sz w:val="23"/>
          <w:szCs w:val="23"/>
        </w:rPr>
        <w:t xml:space="preserve"> Ordem Judicial</w:t>
      </w:r>
      <w:r w:rsidRPr="00000A63">
        <w:rPr>
          <w:rFonts w:ascii="ZapfHumnst BT" w:hAnsi="ZapfHumnst BT" w:cs="Helvetica"/>
          <w:sz w:val="23"/>
          <w:szCs w:val="23"/>
        </w:rPr>
        <w:t xml:space="preserve">. </w:t>
      </w:r>
      <w:r w:rsidRPr="00000A63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do Exmo. Sr. Cons. Kleber Dantas Eulálio (Presidente da Primeira Câmara,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em exercício</w:t>
      </w:r>
      <w:r w:rsidRPr="00000A63">
        <w:rPr>
          <w:rFonts w:ascii="ZapfHumnst BT" w:hAnsi="ZapfHumnst BT" w:cs="Arial"/>
          <w:sz w:val="23"/>
          <w:szCs w:val="23"/>
        </w:rPr>
        <w:t xml:space="preserve">), 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000A63">
        <w:rPr>
          <w:rFonts w:ascii="ZapfHumnst BT" w:hAnsi="ZapfHumnst BT" w:cs="Arial"/>
          <w:sz w:val="23"/>
          <w:szCs w:val="23"/>
        </w:rPr>
        <w:t>o presente processo pelo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prazo de </w:t>
      </w:r>
      <w:proofErr w:type="gramStart"/>
      <w:r w:rsidRPr="00000A63">
        <w:rPr>
          <w:rFonts w:ascii="ZapfHumnst BT" w:hAnsi="ZapfHumnst BT" w:cs="Arial"/>
          <w:b/>
          <w:bCs/>
          <w:sz w:val="23"/>
          <w:szCs w:val="23"/>
        </w:rPr>
        <w:t>1</w:t>
      </w:r>
      <w:proofErr w:type="gramEnd"/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(uma) sessão de julgamento</w:t>
      </w:r>
      <w:r w:rsidRPr="00000A63">
        <w:rPr>
          <w:rFonts w:ascii="ZapfHumnst BT" w:hAnsi="ZapfHumnst BT" w:cs="Arial"/>
          <w:sz w:val="23"/>
          <w:szCs w:val="23"/>
        </w:rPr>
        <w:t xml:space="preserve"> (</w:t>
      </w:r>
      <w:r w:rsidRPr="00000A63">
        <w:rPr>
          <w:rFonts w:ascii="ZapfHumnst BT" w:hAnsi="ZapfHumnst BT" w:cs="Arial"/>
          <w:i/>
          <w:sz w:val="23"/>
          <w:szCs w:val="23"/>
        </w:rPr>
        <w:t xml:space="preserve">art. 82, XI </w:t>
      </w:r>
      <w:r w:rsidRPr="00000A63">
        <w:rPr>
          <w:rFonts w:ascii="ZapfHumnst BT" w:hAnsi="ZapfHumnst BT" w:cs="Arial"/>
          <w:bCs/>
          <w:i/>
          <w:sz w:val="23"/>
          <w:szCs w:val="23"/>
        </w:rPr>
        <w:t xml:space="preserve">da Resolução TCE/PI nº 13/11 – Regimento Interno, </w:t>
      </w:r>
      <w:r w:rsidRPr="00000A63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000A63">
        <w:rPr>
          <w:rFonts w:ascii="ZapfHumnst BT" w:hAnsi="ZapfHumnst BT" w:cs="Arial"/>
          <w:sz w:val="23"/>
          <w:szCs w:val="23"/>
        </w:rPr>
        <w:t xml:space="preserve">) em razão das ausências da Cons.ª Flora Izabel Nobre Rodrigues e da Cons.ª Rejane Ribeiro Sousa Dias e, por consequência, da </w:t>
      </w:r>
      <w:r w:rsidRPr="00000A63">
        <w:rPr>
          <w:rFonts w:ascii="ZapfHumnst BT" w:hAnsi="ZapfHumnst BT" w:cs="Arial"/>
          <w:b/>
          <w:sz w:val="23"/>
          <w:szCs w:val="23"/>
        </w:rPr>
        <w:t>impossibilidade de se repetir a mesma composição votante do Colegiado que iniciou o julgamento deste processo</w:t>
      </w:r>
      <w:r w:rsidRPr="00000A63">
        <w:rPr>
          <w:rFonts w:ascii="ZapfHumnst BT" w:hAnsi="ZapfHumnst BT" w:cs="Arial"/>
          <w:sz w:val="23"/>
          <w:szCs w:val="23"/>
        </w:rPr>
        <w:t xml:space="preserve"> na sessão do dia 17/12/2024 (</w:t>
      </w:r>
      <w:r w:rsidRPr="00000A63">
        <w:rPr>
          <w:rFonts w:ascii="ZapfHumnst BT" w:hAnsi="ZapfHumnst BT" w:cs="Arial"/>
          <w:i/>
          <w:sz w:val="23"/>
          <w:szCs w:val="23"/>
        </w:rPr>
        <w:t>Decisão nº 416/2024</w:t>
      </w:r>
      <w:r w:rsidRPr="00000A63">
        <w:rPr>
          <w:rFonts w:ascii="ZapfHumnst BT" w:hAnsi="ZapfHumnst BT" w:cs="Arial"/>
          <w:sz w:val="23"/>
          <w:szCs w:val="23"/>
        </w:rPr>
        <w:t xml:space="preserve"> – peça 28). Assim, o referido processo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04/02/2025</w:t>
      </w:r>
      <w:r w:rsidRPr="00000A63">
        <w:rPr>
          <w:rFonts w:ascii="ZapfHumnst BT" w:hAnsi="ZapfHumnst BT" w:cs="Arial"/>
          <w:sz w:val="23"/>
          <w:szCs w:val="23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04B4DD6E" w14:textId="77777777" w:rsidR="00297AA2" w:rsidRPr="00000A63" w:rsidRDefault="00297AA2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299F7E22" w14:textId="4ECB5D30" w:rsidR="00297AA2" w:rsidRPr="00000A63" w:rsidRDefault="008E6F63" w:rsidP="00000A6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</w:t>
      </w:r>
      <w:r w:rsidRPr="00000A63">
        <w:rPr>
          <w:rFonts w:ascii="ZapfHumnst BT" w:hAnsi="ZapfHumnst BT"/>
          <w:sz w:val="23"/>
          <w:szCs w:val="23"/>
        </w:rPr>
        <w:t xml:space="preserve"> Nº 008/2025.</w:t>
      </w:r>
      <w:r w:rsidRPr="00000A63">
        <w:rPr>
          <w:rFonts w:ascii="ZapfHumnst BT" w:hAnsi="ZapfHumnst BT"/>
          <w:b/>
          <w:bCs/>
          <w:sz w:val="23"/>
          <w:szCs w:val="23"/>
        </w:rPr>
        <w:t xml:space="preserve"> TC/010760/2023 – REPRESENTAÇÃO CONTRA A PREFEITURA MUNICIPAL DE PAES LANDIM-PI (EXERCÍCIO FINANCEIRO DE 2023).</w:t>
      </w:r>
      <w:r w:rsidRPr="00000A63">
        <w:rPr>
          <w:rFonts w:ascii="ZapfHumnst BT" w:hAnsi="ZapfHumnst BT"/>
          <w:sz w:val="23"/>
          <w:szCs w:val="23"/>
        </w:rPr>
        <w:t xml:space="preserve"> Objeto: supostas irregularidades relacionadas ao procedimento licitatório Tomada de Preços nº 002/2023, cujo objeto consiste na contratação de serviços técnicos </w:t>
      </w:r>
      <w:r w:rsidRPr="00000A63">
        <w:rPr>
          <w:rFonts w:ascii="ZapfHumnst BT" w:hAnsi="ZapfHumnst BT"/>
          <w:sz w:val="23"/>
          <w:szCs w:val="23"/>
        </w:rPr>
        <w:lastRenderedPageBreak/>
        <w:t xml:space="preserve">especializados para realização de concurso público para provimento de vagas no quadro efetivo do Município de Paes Landim-PI. Representado(s): </w:t>
      </w:r>
      <w:proofErr w:type="spellStart"/>
      <w:r w:rsidRPr="00000A63">
        <w:rPr>
          <w:rFonts w:ascii="ZapfHumnst BT" w:hAnsi="ZapfHumnst BT"/>
          <w:sz w:val="23"/>
          <w:szCs w:val="23"/>
        </w:rPr>
        <w:t>Thalles</w:t>
      </w:r>
      <w:proofErr w:type="spellEnd"/>
      <w:r w:rsidRPr="00000A63">
        <w:rPr>
          <w:rFonts w:ascii="ZapfHumnst BT" w:hAnsi="ZapfHumnst BT"/>
          <w:sz w:val="23"/>
          <w:szCs w:val="23"/>
        </w:rPr>
        <w:t xml:space="preserve"> Moura Fé Marques – Prefeito Municipal. Advogado(s) do(s) Representado(s): Regiane Machado Souza Chaves (OAB/PI nº 8.073) – (Procuração: fl. 1 da peça 17.2); e Thiago Mendes de Almeida </w:t>
      </w:r>
      <w:proofErr w:type="spellStart"/>
      <w:r w:rsidRPr="00000A63">
        <w:rPr>
          <w:rFonts w:ascii="ZapfHumnst BT" w:hAnsi="ZapfHumnst BT"/>
          <w:sz w:val="23"/>
          <w:szCs w:val="23"/>
        </w:rPr>
        <w:t>Férrer</w:t>
      </w:r>
      <w:proofErr w:type="spellEnd"/>
      <w:r w:rsidRPr="00000A63">
        <w:rPr>
          <w:rFonts w:ascii="ZapfHumnst BT" w:hAnsi="ZapfHumnst BT"/>
          <w:sz w:val="23"/>
          <w:szCs w:val="23"/>
        </w:rPr>
        <w:t xml:space="preserve"> (OAB/PI nº 5.671) – (Substabelecimento sem reserva de poderes: fl. 1 da peça 51.1). Representante(s): Vereadora </w:t>
      </w:r>
      <w:proofErr w:type="spellStart"/>
      <w:r w:rsidRPr="00000A63">
        <w:rPr>
          <w:rFonts w:ascii="ZapfHumnst BT" w:hAnsi="ZapfHumnst BT"/>
          <w:sz w:val="23"/>
          <w:szCs w:val="23"/>
        </w:rPr>
        <w:t>Teliane</w:t>
      </w:r>
      <w:proofErr w:type="spellEnd"/>
      <w:r w:rsidRPr="00000A63">
        <w:rPr>
          <w:rFonts w:ascii="ZapfHumnst BT" w:hAnsi="ZapfHumnst BT"/>
          <w:sz w:val="23"/>
          <w:szCs w:val="23"/>
        </w:rPr>
        <w:t xml:space="preserve"> Moraes e Silva – Presidente da Câmara Municipal de Paes Landim-PI. Advogado(s) do(s) Representante(s): Márcio Pereira da Silva Rocha (OAB/PI nº 11.687) – (Procuração: Vereadora </w:t>
      </w:r>
      <w:proofErr w:type="spellStart"/>
      <w:r w:rsidRPr="00000A63">
        <w:rPr>
          <w:rFonts w:ascii="ZapfHumnst BT" w:hAnsi="ZapfHumnst BT"/>
          <w:sz w:val="23"/>
          <w:szCs w:val="23"/>
        </w:rPr>
        <w:t>Teliane</w:t>
      </w:r>
      <w:proofErr w:type="spellEnd"/>
      <w:r w:rsidRPr="00000A63">
        <w:rPr>
          <w:rFonts w:ascii="ZapfHumnst BT" w:hAnsi="ZapfHumnst BT"/>
          <w:sz w:val="23"/>
          <w:szCs w:val="23"/>
        </w:rPr>
        <w:t xml:space="preserve"> Moraes e Silva/Presidente da Câmara Municipal de Paes Landim-PI – fl. 1 da peça 11). </w:t>
      </w:r>
      <w:r w:rsidRPr="00000A63">
        <w:rPr>
          <w:rFonts w:ascii="ZapfHumnst BT" w:hAnsi="ZapfHumnst BT" w:cs="Arial"/>
          <w:sz w:val="23"/>
          <w:szCs w:val="23"/>
        </w:rPr>
        <w:t>Inicialmente, o Relator Cons. Substituto Jackson Nobre Veras expôs a seguinte situação processual: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000A63">
        <w:rPr>
          <w:rFonts w:ascii="ZapfHumnst BT" w:hAnsi="ZapfHumnst BT" w:cs="Arial"/>
          <w:i/>
          <w:iCs/>
          <w:sz w:val="23"/>
          <w:szCs w:val="23"/>
        </w:rPr>
        <w:t xml:space="preserve"> – 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que o Colegiado da Primeira Câmara emitiu a Decisão nº 421/2024 de 17/12/2024 (peça 55) para o presente processo;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(II)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– que na citada decisão foi deliberada a determinação de “acolhimento de proposta de arguição de incidente de inconstitucionalidade em face da Lei Complementar nº 414/2023, retirando-lhe a capacidade de produzir efeitos no caso concreto, por afronta ao art. 66 da Constituição Federal, e ao art. 78 da Constituição Estadual, sustando, por via de consequência, os atos praticados sob seu fundamento”;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(III)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– que, posteriormente, foi constatado que a determinação supracitada não poderia ter sido exarada pelo Colegiado da Primeira Câmara, uma vez que a matéria é de competência do Colegiado Pleno desta Corte de Contas, conforme art. 460 do Regimento Interno do TCE/PI; e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(IV)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– que o presente processo retorna à Sessão de Julgamento da Primeira Câmara “para que seja tornado sem efeito a Decisão anterior (peça 55), por vício de competência, devendo o processo ser encaminhado ao Plenário dessa Corte de Contas para inclusão em pauta e posterior deliberação quanto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a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 xml:space="preserve"> matéria”</w:t>
      </w:r>
      <w:r w:rsidRPr="00000A63">
        <w:rPr>
          <w:rFonts w:ascii="ZapfHumnst BT" w:hAnsi="ZapfHumnst BT"/>
          <w:sz w:val="23"/>
          <w:szCs w:val="23"/>
        </w:rPr>
        <w:t>. Na sequência, o advogado Daniel Aguiar Gonçalves (OAB/PI nº 11.881) pediu a palavra ao Presidente (</w:t>
      </w:r>
      <w:r w:rsidRPr="00000A63">
        <w:rPr>
          <w:rFonts w:ascii="ZapfHumnst BT" w:hAnsi="ZapfHumnst BT"/>
          <w:i/>
          <w:iCs/>
          <w:sz w:val="23"/>
          <w:szCs w:val="23"/>
        </w:rPr>
        <w:t>em exercício</w:t>
      </w:r>
      <w:r w:rsidRPr="00000A63">
        <w:rPr>
          <w:rFonts w:ascii="ZapfHumnst BT" w:hAnsi="ZapfHumnst BT"/>
          <w:sz w:val="23"/>
          <w:szCs w:val="23"/>
        </w:rPr>
        <w:t>) da Primeira Câmara, Cons. Kleber Dantas Eulálio, e apresentou-se como patrono de concursados interessados no julgamento do presente processo, suscitando o seguinte: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(I)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– que o presente processo versa sobre a nulidade do processo legislativo da Lei Complementar nº 414/2023, com a fundamentação no pedido de que ela não observou o devido processo legislativo uma vez que foram propostas emendas pela Câmara Municipal e elas não foram observadas pelo Prefeito Municipal de Paes Landim-PI (o gestor municipal vetou as emendas apresentadas e </w:t>
      </w:r>
      <w:r w:rsidRPr="00000A63">
        <w:rPr>
          <w:rFonts w:ascii="ZapfHumnst BT" w:hAnsi="ZapfHumnst BT"/>
          <w:i/>
          <w:iCs/>
          <w:sz w:val="23"/>
          <w:szCs w:val="23"/>
        </w:rPr>
        <w:lastRenderedPageBreak/>
        <w:t xml:space="preserve">publicou a lei, sem devolver os vetos ao Poder Legislativo Municipal para análise);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(II)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– que, na realidade dos fatos, o Poder Legislativo de Paes Landim-PI não tem competência para propor emenda que versa sobre aumento de piso salarial de professores tendo em vista que cabe ao Poder </w:t>
      </w:r>
      <w:proofErr w:type="gramStart"/>
      <w:r w:rsidRPr="00000A63">
        <w:rPr>
          <w:rFonts w:ascii="ZapfHumnst BT" w:hAnsi="ZapfHumnst BT"/>
          <w:i/>
          <w:iCs/>
          <w:sz w:val="23"/>
          <w:szCs w:val="23"/>
        </w:rPr>
        <w:t>Executivo tal propositura</w:t>
      </w:r>
      <w:proofErr w:type="gramEnd"/>
      <w:r w:rsidRPr="00000A63">
        <w:rPr>
          <w:rFonts w:ascii="ZapfHumnst BT" w:hAnsi="ZapfHumnst BT"/>
          <w:i/>
          <w:iCs/>
          <w:sz w:val="23"/>
          <w:szCs w:val="23"/>
        </w:rPr>
        <w:t xml:space="preserve">; e </w:t>
      </w:r>
      <w:r w:rsidRPr="00000A63">
        <w:rPr>
          <w:rFonts w:ascii="ZapfHumnst BT" w:hAnsi="ZapfHumnst BT"/>
          <w:b/>
          <w:bCs/>
          <w:i/>
          <w:iCs/>
          <w:sz w:val="23"/>
          <w:szCs w:val="23"/>
        </w:rPr>
        <w:t>(III)</w:t>
      </w:r>
      <w:r w:rsidRPr="00000A63">
        <w:rPr>
          <w:rFonts w:ascii="ZapfHumnst BT" w:hAnsi="ZapfHumnst BT"/>
          <w:i/>
          <w:iCs/>
          <w:sz w:val="23"/>
          <w:szCs w:val="23"/>
        </w:rPr>
        <w:t xml:space="preserve"> –que a citada lei (juntamente com as emendas) teve a publicação registrada no Diário Oficial dos Municípios Piauienses (edição 536 de 10/08/2023)</w:t>
      </w:r>
      <w:r w:rsidRPr="00000A63">
        <w:rPr>
          <w:rFonts w:ascii="ZapfHumnst BT" w:hAnsi="ZapfHumnst BT"/>
          <w:sz w:val="23"/>
          <w:szCs w:val="23"/>
        </w:rPr>
        <w:t>.</w:t>
      </w:r>
      <w:r w:rsidRPr="00000A63">
        <w:rPr>
          <w:rFonts w:ascii="ZapfHumnst BT" w:hAnsi="ZapfHumnst BT"/>
          <w:sz w:val="23"/>
          <w:szCs w:val="23"/>
        </w:rPr>
        <w:t xml:space="preserve"> </w:t>
      </w:r>
      <w:r w:rsidRPr="00000A63">
        <w:rPr>
          <w:rFonts w:ascii="ZapfHumnst BT" w:hAnsi="ZapfHumnst BT"/>
          <w:sz w:val="23"/>
          <w:szCs w:val="23"/>
        </w:rPr>
        <w:t>Em seguida, o Relator Cons. Substituto Jackson Nobre Veras, juntamente com o Presidente (</w:t>
      </w:r>
      <w:r w:rsidRPr="00000A63">
        <w:rPr>
          <w:rFonts w:ascii="ZapfHumnst BT" w:hAnsi="ZapfHumnst BT"/>
          <w:i/>
          <w:iCs/>
          <w:sz w:val="23"/>
          <w:szCs w:val="23"/>
        </w:rPr>
        <w:t>em exercício</w:t>
      </w:r>
      <w:r w:rsidRPr="00000A63">
        <w:rPr>
          <w:rFonts w:ascii="ZapfHumnst BT" w:hAnsi="ZapfHumnst BT"/>
          <w:sz w:val="23"/>
          <w:szCs w:val="23"/>
        </w:rPr>
        <w:t xml:space="preserve">) Kleber Dantas Eulálio, informaram ao nobre advogado que o processo estava retornando </w:t>
      </w:r>
      <w:proofErr w:type="gramStart"/>
      <w:r w:rsidRPr="00000A63">
        <w:rPr>
          <w:rFonts w:ascii="ZapfHumnst BT" w:hAnsi="ZapfHumnst BT"/>
          <w:sz w:val="23"/>
          <w:szCs w:val="23"/>
        </w:rPr>
        <w:t>à</w:t>
      </w:r>
      <w:proofErr w:type="gramEnd"/>
      <w:r w:rsidRPr="00000A63">
        <w:rPr>
          <w:rFonts w:ascii="ZapfHumnst BT" w:hAnsi="ZapfHumnst BT"/>
          <w:sz w:val="23"/>
          <w:szCs w:val="23"/>
        </w:rPr>
        <w:t xml:space="preserve"> presente pauta de julgamento apenas para decidir sobre a nulidade ou não da decisão proferida na Sessão de Julgamento da Primeira Câmara do dia 17/12/2024 e que, uma vez sendo aprovada a nulidade da decisão anterior, o processo seria encaminhado ao Pleno desta Corte de Contas para deliberação sobre a matéria, momento em que ele poderia expor os seus argumentos de defesa na condição de terceiro interessado.</w:t>
      </w:r>
      <w:r w:rsidRPr="00000A63">
        <w:rPr>
          <w:rFonts w:ascii="ZapfHumnst BT" w:hAnsi="ZapfHumnst BT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sz w:val="23"/>
          <w:szCs w:val="23"/>
        </w:rPr>
        <w:t>Assim, discutida a matéria apresentada pelo relator na sessão de julgamento e no voto juntado à peça 60, decidiu a Primeira Câmara, unânime, ouvido o Representante do Ministério Público de Contas e em consonância com o requerimento do relator, pela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anulação integral da Decisão nº 421/2024 de 17/12/2024 (Primeira Câmara)</w:t>
      </w:r>
      <w:r w:rsidRPr="00000A63">
        <w:rPr>
          <w:rFonts w:ascii="ZapfHumnst BT" w:hAnsi="ZapfHumnst BT" w:cs="Arial"/>
          <w:sz w:val="23"/>
          <w:szCs w:val="23"/>
        </w:rPr>
        <w:t>, acostada à peça 55, bem como pelo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encaminhamento dos autos do processo ao Plenário desta Corte de Contas</w:t>
      </w:r>
      <w:r w:rsidRPr="00000A63">
        <w:rPr>
          <w:rFonts w:ascii="ZapfHumnst BT" w:hAnsi="ZapfHumnst BT" w:cs="Arial"/>
          <w:sz w:val="23"/>
          <w:szCs w:val="23"/>
        </w:rPr>
        <w:t xml:space="preserve"> para inclusão em pauta e deliberação sobre a matéria, com fulcro no art. 460 do Regimento Interno do TCE/PI.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6AC2E25C" w14:textId="77777777" w:rsidR="008E6F63" w:rsidRPr="00000A63" w:rsidRDefault="008E6F63" w:rsidP="00000A6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172E127" w14:textId="0E6DA55F" w:rsidR="008E6F63" w:rsidRPr="00000A63" w:rsidRDefault="00451743" w:rsidP="00000A63">
      <w:pPr>
        <w:autoSpaceDE w:val="0"/>
        <w:autoSpaceDN w:val="0"/>
        <w:adjustRightInd w:val="0"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EXTRATO DE JULGAMENTO Nº 009/2025.</w:t>
      </w:r>
      <w:r w:rsidRPr="00000A63">
        <w:rPr>
          <w:rFonts w:ascii="ZapfHumnst BT" w:hAnsi="ZapfHumnst BT" w:cs="Arial"/>
          <w:b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noProof/>
          <w:sz w:val="23"/>
          <w:szCs w:val="23"/>
        </w:rPr>
        <w:t>TC/004611/2024 – PRESTAÇÃO DE CONTAS DE GOVERNO DA PREFEITURA MUNICIPAL DE JERUMENHA-PI (EXERCÍCIO FINANCEIRO DE 2023)</w:t>
      </w:r>
      <w:r w:rsidRPr="00000A63">
        <w:rPr>
          <w:rFonts w:ascii="ZapfHumnst BT" w:hAnsi="ZapfHumnst BT" w:cs="Arial"/>
          <w:sz w:val="23"/>
          <w:szCs w:val="23"/>
        </w:rPr>
        <w:t xml:space="preserve">.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000A63">
        <w:rPr>
          <w:rFonts w:ascii="ZapfHumnst BT" w:hAnsi="ZapfHumnst BT" w:cs="Arial"/>
          <w:sz w:val="23"/>
          <w:szCs w:val="23"/>
        </w:rPr>
        <w:t>is</w:t>
      </w:r>
      <w:proofErr w:type="spellEnd"/>
      <w:r w:rsidRPr="00000A63">
        <w:rPr>
          <w:rFonts w:ascii="ZapfHumnst BT" w:hAnsi="ZapfHumnst BT" w:cs="Arial"/>
          <w:sz w:val="23"/>
          <w:szCs w:val="23"/>
        </w:rPr>
        <w:t>):</w:t>
      </w:r>
      <w:r w:rsidRPr="00000A63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000A63">
        <w:rPr>
          <w:rFonts w:ascii="ZapfHumnst BT" w:hAnsi="ZapfHumnst BT" w:cs="Arial"/>
          <w:sz w:val="23"/>
          <w:szCs w:val="23"/>
        </w:rPr>
        <w:t>José Inácio Pereira da Silva Júnior – Prefeito Municipal.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 Advogado(s): Henrique Figueiredo Fonseca Coelho (OAB/PI nº 9.129) e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Cs/>
          <w:i/>
          <w:iCs/>
          <w:sz w:val="23"/>
          <w:szCs w:val="23"/>
        </w:rPr>
        <w:lastRenderedPageBreak/>
        <w:t>outros</w:t>
      </w:r>
      <w:r w:rsidRPr="00000A63">
        <w:rPr>
          <w:rFonts w:ascii="ZapfHumnst BT" w:hAnsi="ZapfHumnst BT" w:cs="Arial"/>
          <w:bCs/>
          <w:sz w:val="23"/>
          <w:szCs w:val="23"/>
        </w:rPr>
        <w:t xml:space="preserve"> – (Procuração: José Inácio Pereira da Silva Júnior/Prefeito Municipal – fl. 1 da peça 48.2)</w:t>
      </w:r>
      <w:r w:rsidRPr="00000A63">
        <w:rPr>
          <w:rFonts w:ascii="ZapfHumnst BT" w:hAnsi="ZapfHumnst BT" w:cs="Helvetica"/>
          <w:sz w:val="23"/>
          <w:szCs w:val="23"/>
        </w:rPr>
        <w:t xml:space="preserve">. </w:t>
      </w:r>
      <w:r w:rsidRPr="00000A63">
        <w:rPr>
          <w:rFonts w:ascii="ZapfHumnst BT" w:hAnsi="ZapfHumnst BT" w:cs="Arial"/>
          <w:sz w:val="23"/>
          <w:szCs w:val="23"/>
        </w:rPr>
        <w:t>Considerando o requerimento do Advogado Henrique Figueiredo Fonseca Coelho (OAB/PI nº 9.129)</w:t>
      </w:r>
      <w:r w:rsidRPr="00000A63">
        <w:rPr>
          <w:rFonts w:ascii="ZapfHumnst BT" w:hAnsi="ZapfHumnst BT"/>
          <w:sz w:val="23"/>
          <w:szCs w:val="23"/>
        </w:rPr>
        <w:t>, protocolado sob o número 001107/2025 (peças 57.1 a 57.9) e manifestado oralmente nesta sessão julgadora, d</w:t>
      </w:r>
      <w:r w:rsidRPr="00000A63">
        <w:rPr>
          <w:rFonts w:ascii="ZapfHumnst BT" w:hAnsi="ZapfHumnst BT" w:cs="Arial"/>
          <w:sz w:val="23"/>
          <w:szCs w:val="23"/>
        </w:rPr>
        <w:t xml:space="preserve">ecidiu a Primeira Câmara, unânime, ouvido o Representante do Ministério Público de Contas e em consonância com a manifestação do Relator (peça 57.10), 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000A63">
        <w:rPr>
          <w:rFonts w:ascii="ZapfHumnst BT" w:hAnsi="ZapfHumnst BT" w:cs="Arial"/>
          <w:sz w:val="23"/>
          <w:szCs w:val="23"/>
        </w:rPr>
        <w:t>o presente processo pelo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prazo de </w:t>
      </w:r>
      <w:proofErr w:type="gramStart"/>
      <w:r w:rsidRPr="00000A63">
        <w:rPr>
          <w:rFonts w:ascii="ZapfHumnst BT" w:hAnsi="ZapfHumnst BT" w:cs="Arial"/>
          <w:b/>
          <w:bCs/>
          <w:sz w:val="23"/>
          <w:szCs w:val="23"/>
        </w:rPr>
        <w:t>2</w:t>
      </w:r>
      <w:proofErr w:type="gramEnd"/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(duas) sessões de julgamento</w:t>
      </w:r>
      <w:r w:rsidRPr="00000A63">
        <w:rPr>
          <w:rFonts w:ascii="ZapfHumnst BT" w:hAnsi="ZapfHumnst BT" w:cs="Arial"/>
          <w:sz w:val="23"/>
          <w:szCs w:val="23"/>
        </w:rPr>
        <w:t>. Assim, o referido processo</w:t>
      </w:r>
      <w:r w:rsidRPr="00000A63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18/02/2025</w:t>
      </w:r>
      <w:r w:rsidRPr="00000A63">
        <w:rPr>
          <w:rFonts w:ascii="ZapfHumnst BT" w:hAnsi="ZapfHumnst BT" w:cs="Arial"/>
          <w:sz w:val="23"/>
          <w:szCs w:val="23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000A63">
        <w:rPr>
          <w:rFonts w:ascii="ZapfHumnst BT" w:hAnsi="ZapfHumnst BT" w:cs="Arial"/>
          <w:sz w:val="23"/>
          <w:szCs w:val="23"/>
        </w:rPr>
        <w:t>: Cons. Kleber Dantas Eulálio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000A63">
        <w:rPr>
          <w:rFonts w:ascii="ZapfHumnst BT" w:hAnsi="ZapfHumnst BT" w:cs="Arial"/>
          <w:sz w:val="23"/>
          <w:szCs w:val="23"/>
        </w:rPr>
        <w:t>: Presidente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exercício</w:t>
      </w:r>
      <w:r w:rsidRPr="00000A63">
        <w:rPr>
          <w:rFonts w:ascii="ZapfHumnst BT" w:hAnsi="ZapfHumnst BT" w:cs="Arial"/>
          <w:sz w:val="23"/>
          <w:szCs w:val="23"/>
        </w:rPr>
        <w:t>); Cons. Substituto Delano Carneiro da Cunha Câmara, em substituição à Cons.ª Rejane Ribeiro Sousa Dias; e Cons. Substituto Jackson Nobre Veras, em substituição à Cons.ª Flora Izabel Nobre Rodrigues.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000A63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000A63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000A63">
        <w:rPr>
          <w:rFonts w:ascii="ZapfHumnst BT" w:hAnsi="ZapfHumnst BT" w:cs="Arial"/>
          <w:sz w:val="23"/>
          <w:szCs w:val="23"/>
          <w:lang w:eastAsia="x-none"/>
        </w:rPr>
        <w:t>.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r w:rsidRPr="00000A63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000A63">
        <w:rPr>
          <w:rFonts w:ascii="ZapfHumnst BT" w:hAnsi="ZapfHumnst BT" w:cs="Arial"/>
          <w:sz w:val="23"/>
          <w:szCs w:val="23"/>
        </w:rPr>
        <w:t>: Cons.ª Flora Izabel Nobre Rodrigues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26/2025</w:t>
      </w:r>
      <w:r w:rsidRPr="00000A63">
        <w:rPr>
          <w:rFonts w:ascii="ZapfHumnst BT" w:hAnsi="ZapfHumnst BT" w:cs="Arial"/>
          <w:sz w:val="23"/>
          <w:szCs w:val="23"/>
        </w:rPr>
        <w:t>); e Cons.ª Rejane Ribeiro Sousa Dias (</w:t>
      </w:r>
      <w:r w:rsidRPr="00000A63">
        <w:rPr>
          <w:rFonts w:ascii="ZapfHumnst BT" w:hAnsi="ZapfHumnst BT" w:cs="Arial"/>
          <w:i/>
          <w:iCs/>
          <w:sz w:val="23"/>
          <w:szCs w:val="23"/>
        </w:rPr>
        <w:t>em gozo de férias – Portaria nº 01/2025</w:t>
      </w:r>
      <w:r w:rsidRPr="00000A63">
        <w:rPr>
          <w:rFonts w:ascii="ZapfHumnst BT" w:hAnsi="ZapfHumnst BT" w:cs="Arial"/>
          <w:sz w:val="23"/>
          <w:szCs w:val="23"/>
        </w:rPr>
        <w:t>).</w:t>
      </w:r>
    </w:p>
    <w:p w14:paraId="17370337" w14:textId="77777777" w:rsidR="003C5090" w:rsidRPr="00000A63" w:rsidRDefault="003C5090" w:rsidP="00000A63">
      <w:pPr>
        <w:spacing w:line="360" w:lineRule="auto"/>
        <w:rPr>
          <w:rFonts w:ascii="ZapfHumnst BT" w:hAnsi="ZapfHumnst BT" w:cs="Arial"/>
          <w:b/>
          <w:sz w:val="23"/>
          <w:szCs w:val="23"/>
        </w:rPr>
      </w:pPr>
    </w:p>
    <w:p w14:paraId="4DEB2752" w14:textId="00EC5DE9" w:rsidR="005B0EAD" w:rsidRPr="00000A63" w:rsidRDefault="007143C7" w:rsidP="00000A6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Sr.</w:t>
      </w:r>
      <w:proofErr w:type="gramEnd"/>
      <w:r w:rsidRPr="00000A63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000A63">
        <w:rPr>
          <w:rFonts w:ascii="ZapfHumnst BT" w:hAnsi="ZapfHumnst BT" w:cs="Arial"/>
          <w:sz w:val="23"/>
          <w:szCs w:val="23"/>
        </w:rPr>
        <w:t>Jean Carlos Andrade Soares</w:t>
      </w:r>
      <w:r w:rsidRPr="00000A63">
        <w:rPr>
          <w:rFonts w:ascii="ZapfHumnst BT" w:hAnsi="ZapfHumnst BT" w:cs="Arial"/>
          <w:sz w:val="23"/>
          <w:szCs w:val="23"/>
        </w:rPr>
        <w:t xml:space="preserve">, </w:t>
      </w:r>
      <w:r w:rsidR="00B414C5" w:rsidRPr="00000A63">
        <w:rPr>
          <w:rFonts w:ascii="ZapfHumnst BT" w:hAnsi="ZapfHumnst BT" w:cs="Arial"/>
          <w:sz w:val="23"/>
          <w:szCs w:val="23"/>
        </w:rPr>
        <w:t>S</w:t>
      </w:r>
      <w:r w:rsidRPr="00000A63">
        <w:rPr>
          <w:rFonts w:ascii="ZapfHumnst BT" w:hAnsi="ZapfHumnst BT" w:cs="Arial"/>
          <w:sz w:val="23"/>
          <w:szCs w:val="23"/>
        </w:rPr>
        <w:t>ecretári</w:t>
      </w:r>
      <w:r w:rsidR="00B414C5" w:rsidRPr="00000A63">
        <w:rPr>
          <w:rFonts w:ascii="ZapfHumnst BT" w:hAnsi="ZapfHumnst BT" w:cs="Arial"/>
          <w:sz w:val="23"/>
          <w:szCs w:val="23"/>
        </w:rPr>
        <w:t>o</w:t>
      </w:r>
      <w:r w:rsidRPr="00000A63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000A63">
        <w:rPr>
          <w:rFonts w:ascii="ZapfHumnst BT" w:hAnsi="ZapfHumnst BT" w:cs="Arial"/>
          <w:sz w:val="23"/>
          <w:szCs w:val="23"/>
        </w:rPr>
        <w:t xml:space="preserve">Primeira Câmara </w:t>
      </w:r>
      <w:r w:rsidRPr="00000A63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000A63">
        <w:rPr>
          <w:rFonts w:ascii="ZapfHumnst BT" w:hAnsi="ZapfHumnst BT" w:cs="Arial"/>
          <w:sz w:val="23"/>
          <w:szCs w:val="23"/>
        </w:rPr>
        <w:t xml:space="preserve"> do Piauí</w:t>
      </w:r>
      <w:r w:rsidRPr="00000A63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000A63">
        <w:rPr>
          <w:rFonts w:ascii="ZapfHumnst BT" w:hAnsi="ZapfHumnst BT" w:cs="Arial"/>
          <w:sz w:val="23"/>
          <w:szCs w:val="23"/>
        </w:rPr>
        <w:t>(a)</w:t>
      </w:r>
      <w:r w:rsidRPr="00000A63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="005B0EAD" w:rsidRPr="00000A63">
        <w:rPr>
          <w:rFonts w:ascii="ZapfHumnst BT" w:hAnsi="ZapfHumnst BT" w:cs="Arial"/>
          <w:sz w:val="23"/>
          <w:szCs w:val="23"/>
        </w:rPr>
        <w:t>Sr</w:t>
      </w:r>
      <w:proofErr w:type="spellEnd"/>
      <w:r w:rsidR="005B0EAD" w:rsidRPr="00000A63">
        <w:rPr>
          <w:rFonts w:ascii="ZapfHumnst BT" w:hAnsi="ZapfHumnst BT" w:cs="Arial"/>
          <w:sz w:val="23"/>
          <w:szCs w:val="23"/>
        </w:rPr>
        <w:t>(a). Presidente(a), pelos Conselheiros, pelos Conselheiros Substitutos, pelo(s) Procurador(es) e por mim subscrito.</w:t>
      </w:r>
    </w:p>
    <w:p w14:paraId="76492653" w14:textId="77777777" w:rsidR="00782DE2" w:rsidRPr="00000A63" w:rsidRDefault="00782DE2" w:rsidP="00000A6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2C5DB47" w14:textId="18AD1E78" w:rsidR="009261ED" w:rsidRPr="00000A63" w:rsidRDefault="0030240C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Cons. Kleber Dantas Eulálio</w:t>
      </w:r>
      <w:r w:rsidR="0031596E" w:rsidRPr="00000A63">
        <w:rPr>
          <w:rFonts w:ascii="ZapfHumnst BT" w:hAnsi="ZapfHumnst BT" w:cs="Arial"/>
          <w:sz w:val="23"/>
          <w:szCs w:val="23"/>
        </w:rPr>
        <w:t xml:space="preserve"> – Presidente em exercício</w:t>
      </w:r>
    </w:p>
    <w:p w14:paraId="21521836" w14:textId="58739804" w:rsidR="005B0EAD" w:rsidRPr="00000A63" w:rsidRDefault="005B0EAD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 xml:space="preserve">Cons. </w:t>
      </w:r>
      <w:r w:rsidR="00451743" w:rsidRPr="00000A63">
        <w:rPr>
          <w:rFonts w:ascii="ZapfHumnst BT" w:hAnsi="ZapfHumnst BT" w:cs="Arial"/>
          <w:sz w:val="23"/>
          <w:szCs w:val="23"/>
        </w:rPr>
        <w:t xml:space="preserve">Substituto </w:t>
      </w:r>
      <w:r w:rsidRPr="00000A63">
        <w:rPr>
          <w:rFonts w:ascii="ZapfHumnst BT" w:hAnsi="ZapfHumnst BT" w:cs="Arial"/>
          <w:sz w:val="23"/>
          <w:szCs w:val="23"/>
        </w:rPr>
        <w:t xml:space="preserve">Delano Carneiro da Cunha </w:t>
      </w:r>
      <w:proofErr w:type="gramStart"/>
      <w:r w:rsidRPr="00000A63">
        <w:rPr>
          <w:rFonts w:ascii="ZapfHumnst BT" w:hAnsi="ZapfHumnst BT" w:cs="Arial"/>
          <w:sz w:val="23"/>
          <w:szCs w:val="23"/>
        </w:rPr>
        <w:t>Câmara</w:t>
      </w:r>
      <w:proofErr w:type="gramEnd"/>
    </w:p>
    <w:p w14:paraId="6ACCC8E2" w14:textId="04CC0114" w:rsidR="0030240C" w:rsidRPr="00000A63" w:rsidRDefault="0030240C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Cons. Substituto Jackson Nobre Veras</w:t>
      </w:r>
    </w:p>
    <w:p w14:paraId="7E9A6DC9" w14:textId="1C539E97" w:rsidR="005B0EAD" w:rsidRPr="00000A63" w:rsidRDefault="005B0EAD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Subprocurador-Geral Leandro Maciel do Nascimento – Procurador(a) de Contas junto ao TCE</w:t>
      </w:r>
    </w:p>
    <w:p w14:paraId="622F6DEC" w14:textId="5D54E149" w:rsidR="007143C7" w:rsidRPr="00000A63" w:rsidRDefault="00F659D4" w:rsidP="00000A6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000A63">
        <w:rPr>
          <w:rFonts w:ascii="ZapfHumnst BT" w:hAnsi="ZapfHumnst BT" w:cs="Arial"/>
          <w:sz w:val="23"/>
          <w:szCs w:val="23"/>
        </w:rPr>
        <w:t>Procurador</w:t>
      </w:r>
      <w:r w:rsidR="007143C7" w:rsidRPr="00000A63">
        <w:rPr>
          <w:rFonts w:ascii="ZapfHumnst BT" w:hAnsi="ZapfHumnst BT" w:cs="Arial"/>
          <w:sz w:val="23"/>
          <w:szCs w:val="23"/>
        </w:rPr>
        <w:t xml:space="preserve"> </w:t>
      </w:r>
      <w:r w:rsidR="005B0EAD" w:rsidRPr="00000A63">
        <w:rPr>
          <w:rFonts w:ascii="ZapfHumnst BT" w:hAnsi="ZapfHumnst BT" w:cs="Arial"/>
          <w:sz w:val="23"/>
          <w:szCs w:val="23"/>
        </w:rPr>
        <w:t>Márcio André Madeira de Vasconcelos</w:t>
      </w:r>
      <w:r w:rsidRPr="00000A63">
        <w:rPr>
          <w:rFonts w:ascii="ZapfHumnst BT" w:hAnsi="ZapfHumnst BT" w:cs="Arial"/>
          <w:sz w:val="23"/>
          <w:szCs w:val="23"/>
        </w:rPr>
        <w:t xml:space="preserve"> – </w:t>
      </w:r>
      <w:r w:rsidR="006E0C83" w:rsidRPr="00000A63">
        <w:rPr>
          <w:rFonts w:ascii="ZapfHumnst BT" w:hAnsi="ZapfHumnst BT" w:cs="Arial"/>
          <w:sz w:val="23"/>
          <w:szCs w:val="23"/>
        </w:rPr>
        <w:t>Procurador de Contas junto ao TCE/PI</w:t>
      </w:r>
    </w:p>
    <w:sectPr w:rsidR="007143C7" w:rsidRPr="00000A63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723304A5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F95742" w:rsidRPr="00B726E0">
      <w:rPr>
        <w:rFonts w:ascii="Arial" w:hAnsi="Arial" w:cs="Arial"/>
        <w:i/>
        <w:sz w:val="18"/>
        <w:szCs w:val="18"/>
      </w:rPr>
      <w:t>1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B414C5">
      <w:rPr>
        <w:rFonts w:ascii="Arial" w:hAnsi="Arial" w:cs="Arial"/>
        <w:i/>
        <w:sz w:val="18"/>
        <w:szCs w:val="18"/>
      </w:rPr>
      <w:t>2</w:t>
    </w:r>
    <w:r w:rsidR="009C0795">
      <w:rPr>
        <w:rFonts w:ascii="Arial" w:hAnsi="Arial" w:cs="Arial"/>
        <w:i/>
        <w:sz w:val="18"/>
        <w:szCs w:val="18"/>
      </w:rPr>
      <w:t>8</w:t>
    </w:r>
    <w:r w:rsidR="00B414C5">
      <w:rPr>
        <w:rFonts w:ascii="Arial" w:hAnsi="Arial" w:cs="Arial"/>
        <w:i/>
        <w:sz w:val="18"/>
        <w:szCs w:val="18"/>
      </w:rPr>
      <w:t>/01/202</w:t>
    </w:r>
    <w:r w:rsidR="009C0795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000A63">
      <w:rPr>
        <w:rStyle w:val="Nmerodepgina"/>
        <w:rFonts w:ascii="Arial" w:hAnsi="Arial" w:cs="Arial"/>
        <w:i/>
        <w:noProof/>
        <w:sz w:val="18"/>
        <w:szCs w:val="18"/>
      </w:rPr>
      <w:t>13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3C8E"/>
    <w:multiLevelType w:val="hybridMultilevel"/>
    <w:tmpl w:val="A760BAEE"/>
    <w:lvl w:ilvl="0" w:tplc="0B12E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C3287"/>
    <w:multiLevelType w:val="hybridMultilevel"/>
    <w:tmpl w:val="95926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C3D64"/>
    <w:multiLevelType w:val="hybridMultilevel"/>
    <w:tmpl w:val="DF289D5E"/>
    <w:lvl w:ilvl="0" w:tplc="04160017">
      <w:start w:val="1"/>
      <w:numFmt w:val="lowerLetter"/>
      <w:lvlText w:val="%1)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2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6BD21F6"/>
    <w:multiLevelType w:val="multilevel"/>
    <w:tmpl w:val="5E463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40902"/>
    <w:multiLevelType w:val="multilevel"/>
    <w:tmpl w:val="C4F2E9F2"/>
    <w:lvl w:ilvl="0">
      <w:start w:val="1"/>
      <w:numFmt w:val="none"/>
      <w:isLgl/>
      <w:lvlText w:val="3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F1011"/>
    <w:multiLevelType w:val="multilevel"/>
    <w:tmpl w:val="D86C354C"/>
    <w:lvl w:ilvl="0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0"/>
  </w:num>
  <w:num w:numId="5">
    <w:abstractNumId w:val="12"/>
  </w:num>
  <w:num w:numId="6">
    <w:abstractNumId w:val="16"/>
  </w:num>
  <w:num w:numId="7">
    <w:abstractNumId w:val="11"/>
  </w:num>
  <w:num w:numId="8">
    <w:abstractNumId w:val="18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20"/>
  </w:num>
  <w:num w:numId="15">
    <w:abstractNumId w:val="7"/>
  </w:num>
  <w:num w:numId="16">
    <w:abstractNumId w:val="9"/>
  </w:num>
  <w:num w:numId="17">
    <w:abstractNumId w:val="21"/>
  </w:num>
  <w:num w:numId="18">
    <w:abstractNumId w:val="17"/>
  </w:num>
  <w:num w:numId="19">
    <w:abstractNumId w:val="17"/>
    <w:lvlOverride w:ilvl="0">
      <w:lvl w:ilvl="0">
        <w:start w:val="1"/>
        <w:numFmt w:val="none"/>
        <w:isLgl/>
        <w:lvlText w:val="3.1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>
    <w:abstractNumId w:val="17"/>
    <w:lvlOverride w:ilvl="0">
      <w:lvl w:ilvl="0">
        <w:start w:val="1"/>
        <w:numFmt w:val="none"/>
        <w:isLgl/>
        <w:lvlText w:val="3.1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17"/>
    <w:lvlOverride w:ilvl="0">
      <w:lvl w:ilvl="0">
        <w:start w:val="1"/>
        <w:numFmt w:val="none"/>
        <w:isLgl/>
        <w:lvlText w:val="3.1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9"/>
    <w:lvlOverride w:ilvl="0">
      <w:lvl w:ilvl="0" w:tplc="0416000F">
        <w:start w:val="1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9"/>
    <w:lvlOverride w:ilvl="0">
      <w:lvl w:ilvl="0" w:tplc="0416000F">
        <w:start w:val="1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9"/>
    <w:lvlOverride w:ilvl="0">
      <w:lvl w:ilvl="0" w:tplc="0416000F">
        <w:start w:val="1"/>
        <w:numFmt w:val="none"/>
        <w:lvlText w:val="3.3.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9"/>
    <w:lvlOverride w:ilvl="0">
      <w:lvl w:ilvl="0" w:tplc="0416000F">
        <w:start w:val="1"/>
        <w:numFmt w:val="none"/>
        <w:lvlText w:val="3.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9"/>
    <w:lvlOverride w:ilvl="0">
      <w:lvl w:ilvl="0" w:tplc="0416000F">
        <w:start w:val="1"/>
        <w:numFmt w:val="none"/>
        <w:lvlText w:val="3.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9"/>
    <w:lvlOverride w:ilvl="0">
      <w:lvl w:ilvl="0" w:tplc="0416000F">
        <w:start w:val="1"/>
        <w:numFmt w:val="none"/>
        <w:lvlText w:val="3.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</w:num>
  <w:num w:numId="29">
    <w:abstractNumId w:val="19"/>
  </w:num>
  <w:num w:numId="30">
    <w:abstractNumId w:val="15"/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4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5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6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0A63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30FF"/>
    <w:rsid w:val="000356CA"/>
    <w:rsid w:val="000466A3"/>
    <w:rsid w:val="00054A59"/>
    <w:rsid w:val="00056260"/>
    <w:rsid w:val="000608B4"/>
    <w:rsid w:val="00065C37"/>
    <w:rsid w:val="00073462"/>
    <w:rsid w:val="000738B8"/>
    <w:rsid w:val="000766F8"/>
    <w:rsid w:val="00087C25"/>
    <w:rsid w:val="00090BB6"/>
    <w:rsid w:val="000A208F"/>
    <w:rsid w:val="000B480F"/>
    <w:rsid w:val="000B6A69"/>
    <w:rsid w:val="000B71FA"/>
    <w:rsid w:val="000C0511"/>
    <w:rsid w:val="000C335D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10540"/>
    <w:rsid w:val="0011104A"/>
    <w:rsid w:val="0011226F"/>
    <w:rsid w:val="00121D2B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67E9"/>
    <w:rsid w:val="00177B17"/>
    <w:rsid w:val="00180EA1"/>
    <w:rsid w:val="00181780"/>
    <w:rsid w:val="00190EE4"/>
    <w:rsid w:val="00191581"/>
    <w:rsid w:val="001A16FE"/>
    <w:rsid w:val="001B0CD1"/>
    <w:rsid w:val="001B1C95"/>
    <w:rsid w:val="001C2281"/>
    <w:rsid w:val="001C2E32"/>
    <w:rsid w:val="001C4A58"/>
    <w:rsid w:val="001C5806"/>
    <w:rsid w:val="001C5A56"/>
    <w:rsid w:val="001C6995"/>
    <w:rsid w:val="001D0484"/>
    <w:rsid w:val="001D19FE"/>
    <w:rsid w:val="001D2339"/>
    <w:rsid w:val="001D37E1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346B"/>
    <w:rsid w:val="00224D5D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97AA2"/>
    <w:rsid w:val="002A72C7"/>
    <w:rsid w:val="002B3915"/>
    <w:rsid w:val="002B5058"/>
    <w:rsid w:val="002B6613"/>
    <w:rsid w:val="002B721E"/>
    <w:rsid w:val="002D1C78"/>
    <w:rsid w:val="002D29CC"/>
    <w:rsid w:val="002D608B"/>
    <w:rsid w:val="002E12E1"/>
    <w:rsid w:val="002E2151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596E"/>
    <w:rsid w:val="00316D31"/>
    <w:rsid w:val="00316F95"/>
    <w:rsid w:val="003217EB"/>
    <w:rsid w:val="003308D6"/>
    <w:rsid w:val="00333D29"/>
    <w:rsid w:val="0034338B"/>
    <w:rsid w:val="00351425"/>
    <w:rsid w:val="00352CF2"/>
    <w:rsid w:val="00355271"/>
    <w:rsid w:val="00356850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090"/>
    <w:rsid w:val="003C5A62"/>
    <w:rsid w:val="003C7486"/>
    <w:rsid w:val="003D2100"/>
    <w:rsid w:val="003E024E"/>
    <w:rsid w:val="003E52A1"/>
    <w:rsid w:val="003E6124"/>
    <w:rsid w:val="003F048D"/>
    <w:rsid w:val="003F3DD1"/>
    <w:rsid w:val="003F40E1"/>
    <w:rsid w:val="003F42FC"/>
    <w:rsid w:val="003F565F"/>
    <w:rsid w:val="004074D1"/>
    <w:rsid w:val="004107CE"/>
    <w:rsid w:val="00411640"/>
    <w:rsid w:val="004135DE"/>
    <w:rsid w:val="004155FB"/>
    <w:rsid w:val="0041751B"/>
    <w:rsid w:val="0042175E"/>
    <w:rsid w:val="004224B1"/>
    <w:rsid w:val="004229DA"/>
    <w:rsid w:val="0042573B"/>
    <w:rsid w:val="0043016E"/>
    <w:rsid w:val="00432F47"/>
    <w:rsid w:val="00433B2F"/>
    <w:rsid w:val="00451743"/>
    <w:rsid w:val="0045474D"/>
    <w:rsid w:val="00463D1B"/>
    <w:rsid w:val="00466810"/>
    <w:rsid w:val="004678A4"/>
    <w:rsid w:val="00470BF5"/>
    <w:rsid w:val="00474787"/>
    <w:rsid w:val="00482CD1"/>
    <w:rsid w:val="00485898"/>
    <w:rsid w:val="004A3DA3"/>
    <w:rsid w:val="004A489B"/>
    <w:rsid w:val="004A6D47"/>
    <w:rsid w:val="004B2A73"/>
    <w:rsid w:val="004B313E"/>
    <w:rsid w:val="004C253D"/>
    <w:rsid w:val="004D1563"/>
    <w:rsid w:val="004E17C9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700A"/>
    <w:rsid w:val="00533193"/>
    <w:rsid w:val="00537E78"/>
    <w:rsid w:val="00542033"/>
    <w:rsid w:val="005423D9"/>
    <w:rsid w:val="00544727"/>
    <w:rsid w:val="005473C6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0EAD"/>
    <w:rsid w:val="005B10E9"/>
    <w:rsid w:val="005B1B58"/>
    <w:rsid w:val="005C0542"/>
    <w:rsid w:val="005C4306"/>
    <w:rsid w:val="005C56FB"/>
    <w:rsid w:val="005C6058"/>
    <w:rsid w:val="005D7C9F"/>
    <w:rsid w:val="005E0AA1"/>
    <w:rsid w:val="005F59DB"/>
    <w:rsid w:val="005F611E"/>
    <w:rsid w:val="00601DF8"/>
    <w:rsid w:val="0060630D"/>
    <w:rsid w:val="00612E69"/>
    <w:rsid w:val="00615928"/>
    <w:rsid w:val="00620A7F"/>
    <w:rsid w:val="0062289A"/>
    <w:rsid w:val="0062294C"/>
    <w:rsid w:val="0062322F"/>
    <w:rsid w:val="0062330F"/>
    <w:rsid w:val="00623EA5"/>
    <w:rsid w:val="00625E70"/>
    <w:rsid w:val="006302F0"/>
    <w:rsid w:val="00635C51"/>
    <w:rsid w:val="00635F63"/>
    <w:rsid w:val="00637AD2"/>
    <w:rsid w:val="00642067"/>
    <w:rsid w:val="00650D9C"/>
    <w:rsid w:val="006563FF"/>
    <w:rsid w:val="006623ED"/>
    <w:rsid w:val="00674E91"/>
    <w:rsid w:val="006762EE"/>
    <w:rsid w:val="00682A5C"/>
    <w:rsid w:val="006849A9"/>
    <w:rsid w:val="0069297C"/>
    <w:rsid w:val="0069759C"/>
    <w:rsid w:val="006A609B"/>
    <w:rsid w:val="006B10B8"/>
    <w:rsid w:val="006B2FF1"/>
    <w:rsid w:val="006B574E"/>
    <w:rsid w:val="006C03FD"/>
    <w:rsid w:val="006C353D"/>
    <w:rsid w:val="006C41E0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72E59"/>
    <w:rsid w:val="0077713D"/>
    <w:rsid w:val="007800F9"/>
    <w:rsid w:val="00782DE2"/>
    <w:rsid w:val="007905C1"/>
    <w:rsid w:val="00793478"/>
    <w:rsid w:val="00793591"/>
    <w:rsid w:val="007A1D1A"/>
    <w:rsid w:val="007A276E"/>
    <w:rsid w:val="007A5410"/>
    <w:rsid w:val="007B176B"/>
    <w:rsid w:val="007B7BE0"/>
    <w:rsid w:val="007C260D"/>
    <w:rsid w:val="007C2DAB"/>
    <w:rsid w:val="007C6231"/>
    <w:rsid w:val="007C6898"/>
    <w:rsid w:val="007D02E9"/>
    <w:rsid w:val="007D041B"/>
    <w:rsid w:val="007E5837"/>
    <w:rsid w:val="007F3836"/>
    <w:rsid w:val="008020E4"/>
    <w:rsid w:val="00806667"/>
    <w:rsid w:val="008073DA"/>
    <w:rsid w:val="00811610"/>
    <w:rsid w:val="008410DC"/>
    <w:rsid w:val="008423AD"/>
    <w:rsid w:val="0084390C"/>
    <w:rsid w:val="00850A56"/>
    <w:rsid w:val="00853C08"/>
    <w:rsid w:val="00854C36"/>
    <w:rsid w:val="008570EB"/>
    <w:rsid w:val="008577B3"/>
    <w:rsid w:val="008861F9"/>
    <w:rsid w:val="00886DDA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4A14"/>
    <w:rsid w:val="008D6E03"/>
    <w:rsid w:val="008D7784"/>
    <w:rsid w:val="008E6EBB"/>
    <w:rsid w:val="008E6F63"/>
    <w:rsid w:val="008E7845"/>
    <w:rsid w:val="008F60E7"/>
    <w:rsid w:val="00901906"/>
    <w:rsid w:val="009055B5"/>
    <w:rsid w:val="00905DA8"/>
    <w:rsid w:val="00916778"/>
    <w:rsid w:val="009225C1"/>
    <w:rsid w:val="009261ED"/>
    <w:rsid w:val="009359A5"/>
    <w:rsid w:val="00944DBB"/>
    <w:rsid w:val="0094775E"/>
    <w:rsid w:val="00954150"/>
    <w:rsid w:val="00990D39"/>
    <w:rsid w:val="009935F4"/>
    <w:rsid w:val="009A08D7"/>
    <w:rsid w:val="009A26AA"/>
    <w:rsid w:val="009B3644"/>
    <w:rsid w:val="009B5E0C"/>
    <w:rsid w:val="009C0795"/>
    <w:rsid w:val="009C6038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287C"/>
    <w:rsid w:val="00A43A92"/>
    <w:rsid w:val="00A526A2"/>
    <w:rsid w:val="00A62A7D"/>
    <w:rsid w:val="00A63C19"/>
    <w:rsid w:val="00A63C38"/>
    <w:rsid w:val="00A666A4"/>
    <w:rsid w:val="00A77466"/>
    <w:rsid w:val="00A77537"/>
    <w:rsid w:val="00A85835"/>
    <w:rsid w:val="00A93B00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F06BE"/>
    <w:rsid w:val="00AF0FAA"/>
    <w:rsid w:val="00AF2335"/>
    <w:rsid w:val="00AF2CB6"/>
    <w:rsid w:val="00AF38EB"/>
    <w:rsid w:val="00B00179"/>
    <w:rsid w:val="00B0311C"/>
    <w:rsid w:val="00B04B60"/>
    <w:rsid w:val="00B36A9C"/>
    <w:rsid w:val="00B36E17"/>
    <w:rsid w:val="00B37668"/>
    <w:rsid w:val="00B414C5"/>
    <w:rsid w:val="00B4174D"/>
    <w:rsid w:val="00B43FE0"/>
    <w:rsid w:val="00B45453"/>
    <w:rsid w:val="00B53069"/>
    <w:rsid w:val="00B53E2A"/>
    <w:rsid w:val="00B6380A"/>
    <w:rsid w:val="00B677AE"/>
    <w:rsid w:val="00B726E0"/>
    <w:rsid w:val="00B82476"/>
    <w:rsid w:val="00B82DA2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398F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242E4"/>
    <w:rsid w:val="00C33D52"/>
    <w:rsid w:val="00C35CE8"/>
    <w:rsid w:val="00C35E95"/>
    <w:rsid w:val="00C47554"/>
    <w:rsid w:val="00C549BB"/>
    <w:rsid w:val="00C57363"/>
    <w:rsid w:val="00C76217"/>
    <w:rsid w:val="00C77750"/>
    <w:rsid w:val="00C830F0"/>
    <w:rsid w:val="00C870E1"/>
    <w:rsid w:val="00C95508"/>
    <w:rsid w:val="00C958A2"/>
    <w:rsid w:val="00CC0398"/>
    <w:rsid w:val="00CC2F2A"/>
    <w:rsid w:val="00CC3A65"/>
    <w:rsid w:val="00CC679A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30FBE"/>
    <w:rsid w:val="00D477E7"/>
    <w:rsid w:val="00D55DF5"/>
    <w:rsid w:val="00D56E0A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5AB"/>
    <w:rsid w:val="00D868AA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31A97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94C63"/>
    <w:rsid w:val="00EA1E59"/>
    <w:rsid w:val="00EB0CE2"/>
    <w:rsid w:val="00EB499F"/>
    <w:rsid w:val="00EB6106"/>
    <w:rsid w:val="00EC2A66"/>
    <w:rsid w:val="00EC6ECF"/>
    <w:rsid w:val="00ED017D"/>
    <w:rsid w:val="00ED2B1F"/>
    <w:rsid w:val="00ED30A6"/>
    <w:rsid w:val="00ED34FF"/>
    <w:rsid w:val="00ED636B"/>
    <w:rsid w:val="00EE0403"/>
    <w:rsid w:val="00EE5AC4"/>
    <w:rsid w:val="00EE6FFD"/>
    <w:rsid w:val="00EF11FA"/>
    <w:rsid w:val="00EF71F7"/>
    <w:rsid w:val="00EF77BC"/>
    <w:rsid w:val="00F07403"/>
    <w:rsid w:val="00F12800"/>
    <w:rsid w:val="00F14DC6"/>
    <w:rsid w:val="00F23BF8"/>
    <w:rsid w:val="00F24550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407A"/>
    <w:rsid w:val="00FA693B"/>
    <w:rsid w:val="00FA7156"/>
    <w:rsid w:val="00FB7357"/>
    <w:rsid w:val="00FC1DD3"/>
    <w:rsid w:val="00FC636D"/>
    <w:rsid w:val="00FD02A0"/>
    <w:rsid w:val="00FD3CC1"/>
    <w:rsid w:val="00FD7E97"/>
    <w:rsid w:val="00FE07B3"/>
    <w:rsid w:val="00FE2C33"/>
    <w:rsid w:val="00FE6215"/>
    <w:rsid w:val="00FE6C20"/>
    <w:rsid w:val="00FF231B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A227-51BF-4B6A-B640-D94B20FA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251</TotalTime>
  <Pages>13</Pages>
  <Words>4699</Words>
  <Characters>25379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75</cp:revision>
  <dcterms:created xsi:type="dcterms:W3CDTF">2024-01-22T12:46:00Z</dcterms:created>
  <dcterms:modified xsi:type="dcterms:W3CDTF">2025-03-11T13:46:00Z</dcterms:modified>
</cp:coreProperties>
</file>