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E2" w:rsidRPr="002563E2" w:rsidRDefault="002563E2">
      <w:pPr>
        <w:pStyle w:val="Corpodetexto"/>
        <w:ind w:left="2"/>
        <w:rPr>
          <w:rFonts w:ascii="Arial" w:hAnsi="Arial" w:cs="Arial"/>
        </w:rPr>
      </w:pPr>
    </w:p>
    <w:p w:rsidR="00EE3CD0" w:rsidRPr="00D42B80" w:rsidRDefault="00C81E2C">
      <w:pPr>
        <w:pStyle w:val="Corpodetexto"/>
        <w:ind w:left="2"/>
        <w:rPr>
          <w:rFonts w:ascii="Arial" w:hAnsi="Arial" w:cs="Arial"/>
          <w:b/>
        </w:rPr>
      </w:pPr>
      <w:r w:rsidRPr="00D42B80">
        <w:rPr>
          <w:rFonts w:ascii="Arial" w:hAnsi="Arial" w:cs="Arial"/>
          <w:b/>
        </w:rPr>
        <w:t>NOTA</w:t>
      </w:r>
      <w:r w:rsidRPr="00D42B80">
        <w:rPr>
          <w:rFonts w:ascii="Arial" w:hAnsi="Arial" w:cs="Arial"/>
          <w:b/>
          <w:spacing w:val="-7"/>
        </w:rPr>
        <w:t xml:space="preserve"> </w:t>
      </w:r>
      <w:r w:rsidRPr="00D42B80">
        <w:rPr>
          <w:rFonts w:ascii="Arial" w:hAnsi="Arial" w:cs="Arial"/>
          <w:b/>
        </w:rPr>
        <w:t>TÉCNICA</w:t>
      </w:r>
      <w:r w:rsidRPr="00D42B80">
        <w:rPr>
          <w:rFonts w:ascii="Arial" w:hAnsi="Arial" w:cs="Arial"/>
          <w:b/>
          <w:spacing w:val="-5"/>
        </w:rPr>
        <w:t xml:space="preserve"> </w:t>
      </w:r>
      <w:r w:rsidRPr="00D42B80">
        <w:rPr>
          <w:rFonts w:ascii="Arial" w:hAnsi="Arial" w:cs="Arial"/>
          <w:b/>
          <w:spacing w:val="-2"/>
        </w:rPr>
        <w:t>01/2018</w:t>
      </w:r>
    </w:p>
    <w:p w:rsidR="00EE3CD0" w:rsidRPr="002563E2" w:rsidRDefault="00EE3CD0">
      <w:pPr>
        <w:pStyle w:val="Corpodetexto"/>
        <w:rPr>
          <w:rFonts w:ascii="Arial" w:hAnsi="Arial" w:cs="Arial"/>
        </w:rPr>
      </w:pPr>
    </w:p>
    <w:p w:rsidR="00EE3CD0" w:rsidRPr="005E50DF" w:rsidRDefault="00C81E2C" w:rsidP="002563E2">
      <w:pPr>
        <w:pStyle w:val="Corpodetexto"/>
        <w:spacing w:line="360" w:lineRule="auto"/>
        <w:ind w:left="3969" w:right="136"/>
        <w:jc w:val="both"/>
        <w:rPr>
          <w:rFonts w:ascii="Arial" w:hAnsi="Arial" w:cs="Arial"/>
          <w:b/>
          <w:sz w:val="20"/>
        </w:rPr>
      </w:pPr>
      <w:r w:rsidRPr="005E50DF">
        <w:rPr>
          <w:rFonts w:ascii="Arial" w:hAnsi="Arial" w:cs="Arial"/>
          <w:b/>
          <w:sz w:val="20"/>
        </w:rPr>
        <w:t>Ass</w:t>
      </w:r>
      <w:bookmarkStart w:id="0" w:name="_GoBack"/>
      <w:bookmarkEnd w:id="0"/>
      <w:r w:rsidRPr="005E50DF">
        <w:rPr>
          <w:rFonts w:ascii="Arial" w:hAnsi="Arial" w:cs="Arial"/>
          <w:b/>
          <w:sz w:val="20"/>
        </w:rPr>
        <w:t>unto: Orientação aos jurisdicionados do TCE-PI acerca da gestão associada dos serviços públicos de saneamento básico, realizada através de Convênio de Cooperação</w:t>
      </w:r>
      <w:r w:rsidRPr="005E50DF">
        <w:rPr>
          <w:rFonts w:ascii="Arial" w:hAnsi="Arial" w:cs="Arial"/>
          <w:b/>
          <w:spacing w:val="40"/>
          <w:sz w:val="20"/>
        </w:rPr>
        <w:t xml:space="preserve"> </w:t>
      </w:r>
      <w:r w:rsidRPr="005E50DF">
        <w:rPr>
          <w:rFonts w:ascii="Arial" w:hAnsi="Arial" w:cs="Arial"/>
          <w:b/>
          <w:sz w:val="20"/>
        </w:rPr>
        <w:t>e Contrato de Programa.</w:t>
      </w:r>
    </w:p>
    <w:p w:rsidR="00EE3CD0" w:rsidRPr="002563E2" w:rsidRDefault="00EE3CD0">
      <w:pPr>
        <w:pStyle w:val="Corpodetexto"/>
        <w:rPr>
          <w:rFonts w:ascii="Arial" w:hAnsi="Arial" w:cs="Arial"/>
        </w:rPr>
      </w:pPr>
    </w:p>
    <w:p w:rsidR="00EE3CD0" w:rsidRPr="002563E2" w:rsidRDefault="002563E2" w:rsidP="002563E2">
      <w:pPr>
        <w:pStyle w:val="PargrafodaLista"/>
        <w:tabs>
          <w:tab w:val="left" w:pos="283"/>
        </w:tabs>
        <w:spacing w:before="121" w:line="360" w:lineRule="auto"/>
        <w:ind w:right="139"/>
        <w:rPr>
          <w:rFonts w:ascii="Arial" w:hAnsi="Arial" w:cs="Arial"/>
          <w:sz w:val="24"/>
          <w:szCs w:val="24"/>
        </w:rPr>
      </w:pPr>
      <w:r w:rsidRPr="002563E2">
        <w:rPr>
          <w:rFonts w:ascii="Arial" w:hAnsi="Arial" w:cs="Arial"/>
          <w:sz w:val="24"/>
          <w:szCs w:val="24"/>
        </w:rPr>
        <w:tab/>
      </w:r>
      <w:r w:rsidR="00C81E2C" w:rsidRPr="002563E2">
        <w:rPr>
          <w:rFonts w:ascii="Arial" w:hAnsi="Arial" w:cs="Arial"/>
          <w:sz w:val="24"/>
          <w:szCs w:val="24"/>
        </w:rPr>
        <w:t>Considerando a extinção dos contratos de concessão e/ou contratos de programas firmados pelos municípios piauienses, bem como a formalização de novos contratos em desrespeito à legislação que rege a matéria e às recomendações expedidas por este Tribunal nos autos do Processo de Consulta TC/004715/2016, o Tribunal de Contas do Estado do Piauí torna pública a presente nota técnica sobre a gestão associada dos serviços públicos de saneamento básico (abastecimento de água e esgotamento sanitário), realizada através de Convênio de Cooperação e Contrato de Programa, no intuito de colaborar com os gestores municipais e evitar a prática de irregularidades na atividade administrativa.</w:t>
      </w:r>
    </w:p>
    <w:p w:rsidR="00EE3CD0" w:rsidRPr="002563E2" w:rsidRDefault="00C81E2C" w:rsidP="002563E2">
      <w:pPr>
        <w:pStyle w:val="PargrafodaLista"/>
        <w:numPr>
          <w:ilvl w:val="0"/>
          <w:numId w:val="1"/>
        </w:numPr>
        <w:tabs>
          <w:tab w:val="left" w:pos="283"/>
        </w:tabs>
        <w:spacing w:before="121" w:line="360" w:lineRule="auto"/>
        <w:ind w:right="139" w:firstLine="282"/>
        <w:rPr>
          <w:rFonts w:ascii="Arial" w:hAnsi="Arial" w:cs="Arial"/>
          <w:sz w:val="24"/>
          <w:szCs w:val="24"/>
        </w:rPr>
      </w:pPr>
      <w:r w:rsidRPr="002563E2">
        <w:rPr>
          <w:rFonts w:ascii="Arial" w:hAnsi="Arial" w:cs="Arial"/>
          <w:sz w:val="24"/>
          <w:szCs w:val="24"/>
        </w:rPr>
        <w:t xml:space="preserve">Compete aos Municípios, nos termos do art. 30, V, da Constituição Federal, organizar e prestar, diretamente ou </w:t>
      </w:r>
      <w:proofErr w:type="gramStart"/>
      <w:r w:rsidRPr="002563E2">
        <w:rPr>
          <w:rFonts w:ascii="Arial" w:hAnsi="Arial" w:cs="Arial"/>
          <w:sz w:val="24"/>
          <w:szCs w:val="24"/>
        </w:rPr>
        <w:t>sob regime</w:t>
      </w:r>
      <w:proofErr w:type="gramEnd"/>
      <w:r w:rsidRPr="002563E2">
        <w:rPr>
          <w:rFonts w:ascii="Arial" w:hAnsi="Arial" w:cs="Arial"/>
          <w:sz w:val="24"/>
          <w:szCs w:val="24"/>
        </w:rPr>
        <w:t xml:space="preserve"> de concessão ou permissão, os serviços públicos de interesse local. Restando compreendido o saneamento básico como serviço de interesse eminentemente local, cabe aos Municípios decidir acerca de sua forma de prestação, podendo delegá-lo ao sujeito que </w:t>
      </w:r>
      <w:proofErr w:type="gramStart"/>
      <w:r w:rsidRPr="002563E2">
        <w:rPr>
          <w:rFonts w:ascii="Arial" w:hAnsi="Arial" w:cs="Arial"/>
          <w:sz w:val="24"/>
          <w:szCs w:val="24"/>
        </w:rPr>
        <w:t>compreendessem</w:t>
      </w:r>
      <w:proofErr w:type="gramEnd"/>
      <w:r w:rsidRPr="002563E2">
        <w:rPr>
          <w:rFonts w:ascii="Arial" w:hAnsi="Arial" w:cs="Arial"/>
          <w:sz w:val="24"/>
          <w:szCs w:val="24"/>
        </w:rPr>
        <w:t xml:space="preserve"> melhor se desincumbir da atividade em questão ou mesmo prestá-la diretamente.</w:t>
      </w:r>
    </w:p>
    <w:p w:rsidR="00EE3CD0" w:rsidRPr="002563E2" w:rsidRDefault="00C81E2C" w:rsidP="002563E2">
      <w:pPr>
        <w:pStyle w:val="PargrafodaLista"/>
        <w:numPr>
          <w:ilvl w:val="0"/>
          <w:numId w:val="1"/>
        </w:numPr>
        <w:tabs>
          <w:tab w:val="left" w:pos="401"/>
        </w:tabs>
        <w:spacing w:before="119" w:line="360" w:lineRule="auto"/>
        <w:ind w:firstLine="282"/>
        <w:rPr>
          <w:rFonts w:ascii="Arial" w:hAnsi="Arial" w:cs="Arial"/>
          <w:sz w:val="24"/>
          <w:szCs w:val="24"/>
        </w:rPr>
      </w:pPr>
      <w:r w:rsidRPr="002563E2">
        <w:rPr>
          <w:rFonts w:ascii="Arial" w:hAnsi="Arial" w:cs="Arial"/>
          <w:sz w:val="24"/>
          <w:szCs w:val="24"/>
        </w:rPr>
        <w:t>A partir da promulgação da Emenda Constitucional nº 19/1998, a Constituição Federal passou a prever, em seu art. 241, que a União, os Estados,</w:t>
      </w:r>
      <w:r w:rsidRPr="002563E2">
        <w:rPr>
          <w:rFonts w:ascii="Arial" w:hAnsi="Arial" w:cs="Arial"/>
          <w:spacing w:val="40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o</w:t>
      </w:r>
      <w:r w:rsidRPr="002563E2">
        <w:rPr>
          <w:rFonts w:ascii="Arial" w:hAnsi="Arial" w:cs="Arial"/>
          <w:spacing w:val="40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Distrito</w:t>
      </w:r>
      <w:r w:rsidRPr="002563E2">
        <w:rPr>
          <w:rFonts w:ascii="Arial" w:hAnsi="Arial" w:cs="Arial"/>
          <w:spacing w:val="40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Federal</w:t>
      </w:r>
      <w:r w:rsidRPr="002563E2">
        <w:rPr>
          <w:rFonts w:ascii="Arial" w:hAnsi="Arial" w:cs="Arial"/>
          <w:spacing w:val="40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e</w:t>
      </w:r>
      <w:r w:rsidRPr="002563E2">
        <w:rPr>
          <w:rFonts w:ascii="Arial" w:hAnsi="Arial" w:cs="Arial"/>
          <w:spacing w:val="40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os</w:t>
      </w:r>
      <w:r w:rsidRPr="002563E2">
        <w:rPr>
          <w:rFonts w:ascii="Arial" w:hAnsi="Arial" w:cs="Arial"/>
          <w:spacing w:val="40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Municípios</w:t>
      </w:r>
      <w:r w:rsidRPr="002563E2">
        <w:rPr>
          <w:rFonts w:ascii="Arial" w:hAnsi="Arial" w:cs="Arial"/>
          <w:spacing w:val="40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disciplinarão</w:t>
      </w:r>
      <w:r w:rsidRPr="002563E2">
        <w:rPr>
          <w:rFonts w:ascii="Arial" w:hAnsi="Arial" w:cs="Arial"/>
          <w:spacing w:val="40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por</w:t>
      </w:r>
      <w:r w:rsidRPr="002563E2">
        <w:rPr>
          <w:rFonts w:ascii="Arial" w:hAnsi="Arial" w:cs="Arial"/>
          <w:spacing w:val="40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meio</w:t>
      </w:r>
      <w:r w:rsidRPr="002563E2">
        <w:rPr>
          <w:rFonts w:ascii="Arial" w:hAnsi="Arial" w:cs="Arial"/>
          <w:spacing w:val="40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de</w:t>
      </w:r>
      <w:r w:rsidRPr="002563E2">
        <w:rPr>
          <w:rFonts w:ascii="Arial" w:hAnsi="Arial" w:cs="Arial"/>
          <w:spacing w:val="40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lei</w:t>
      </w:r>
      <w:r w:rsidRPr="002563E2">
        <w:rPr>
          <w:rFonts w:ascii="Arial" w:hAnsi="Arial" w:cs="Arial"/>
          <w:spacing w:val="40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os</w:t>
      </w:r>
      <w:r w:rsidR="002563E2" w:rsidRPr="002563E2">
        <w:rPr>
          <w:rFonts w:ascii="Arial" w:hAnsi="Arial" w:cs="Arial"/>
          <w:sz w:val="24"/>
          <w:szCs w:val="24"/>
        </w:rPr>
        <w:t xml:space="preserve"> </w:t>
      </w:r>
      <w:r w:rsidRPr="002563E2">
        <w:rPr>
          <w:rFonts w:ascii="Arial" w:hAnsi="Arial" w:cs="Arial"/>
          <w:b/>
          <w:sz w:val="24"/>
          <w:szCs w:val="24"/>
        </w:rPr>
        <w:t xml:space="preserve">consórcios públicos </w:t>
      </w:r>
      <w:r w:rsidRPr="002563E2">
        <w:rPr>
          <w:rFonts w:ascii="Arial" w:hAnsi="Arial" w:cs="Arial"/>
          <w:sz w:val="24"/>
          <w:szCs w:val="24"/>
        </w:rPr>
        <w:t xml:space="preserve">e os </w:t>
      </w:r>
      <w:r w:rsidRPr="002563E2">
        <w:rPr>
          <w:rFonts w:ascii="Arial" w:hAnsi="Arial" w:cs="Arial"/>
          <w:b/>
          <w:sz w:val="24"/>
          <w:szCs w:val="24"/>
        </w:rPr>
        <w:t xml:space="preserve">convênios de cooperação </w:t>
      </w:r>
      <w:r w:rsidRPr="002563E2">
        <w:rPr>
          <w:rFonts w:ascii="Arial" w:hAnsi="Arial" w:cs="Arial"/>
          <w:sz w:val="24"/>
          <w:szCs w:val="24"/>
        </w:rPr>
        <w:t xml:space="preserve">entre os entes federados, autorizando a </w:t>
      </w:r>
      <w:r w:rsidRPr="002563E2">
        <w:rPr>
          <w:rFonts w:ascii="Arial" w:hAnsi="Arial" w:cs="Arial"/>
          <w:b/>
          <w:sz w:val="24"/>
          <w:szCs w:val="24"/>
        </w:rPr>
        <w:t>gestão associada de serviços públicos</w:t>
      </w:r>
      <w:r w:rsidRPr="002563E2">
        <w:rPr>
          <w:rFonts w:ascii="Arial" w:hAnsi="Arial" w:cs="Arial"/>
          <w:sz w:val="24"/>
          <w:szCs w:val="24"/>
        </w:rPr>
        <w:t>, bem como a transferência total ou parcial de encargos, serviços, pessoal e bens</w:t>
      </w:r>
      <w:r w:rsidRPr="002563E2">
        <w:rPr>
          <w:rFonts w:ascii="Arial" w:hAnsi="Arial" w:cs="Arial"/>
          <w:spacing w:val="40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essenciais à continuidade dos serviços transferidos.</w:t>
      </w:r>
    </w:p>
    <w:p w:rsidR="00EE3CD0" w:rsidRPr="002563E2" w:rsidRDefault="00C81E2C" w:rsidP="002563E2">
      <w:pPr>
        <w:pStyle w:val="PargrafodaLista"/>
        <w:numPr>
          <w:ilvl w:val="0"/>
          <w:numId w:val="1"/>
        </w:numPr>
        <w:tabs>
          <w:tab w:val="left" w:pos="343"/>
        </w:tabs>
        <w:spacing w:line="360" w:lineRule="auto"/>
        <w:ind w:right="137" w:firstLine="282"/>
        <w:rPr>
          <w:rFonts w:ascii="Arial" w:hAnsi="Arial" w:cs="Arial"/>
          <w:sz w:val="24"/>
          <w:szCs w:val="24"/>
        </w:rPr>
      </w:pPr>
      <w:r w:rsidRPr="002563E2">
        <w:rPr>
          <w:rFonts w:ascii="Arial" w:hAnsi="Arial" w:cs="Arial"/>
          <w:sz w:val="24"/>
          <w:szCs w:val="24"/>
        </w:rPr>
        <w:lastRenderedPageBreak/>
        <w:t xml:space="preserve">A Emenda Constitucional nº 10/99, por sua vez, inseriu o art. 262 na Constituição do Estado do Piauí, prevendo que o Estado e os Municípios disciplinarão por meio de lei os </w:t>
      </w:r>
      <w:r w:rsidRPr="002563E2">
        <w:rPr>
          <w:rFonts w:ascii="Arial" w:hAnsi="Arial" w:cs="Arial"/>
          <w:b/>
          <w:sz w:val="24"/>
          <w:szCs w:val="24"/>
        </w:rPr>
        <w:t xml:space="preserve">consórcios públicos </w:t>
      </w:r>
      <w:r w:rsidRPr="002563E2">
        <w:rPr>
          <w:rFonts w:ascii="Arial" w:hAnsi="Arial" w:cs="Arial"/>
          <w:sz w:val="24"/>
          <w:szCs w:val="24"/>
        </w:rPr>
        <w:t xml:space="preserve">e os </w:t>
      </w:r>
      <w:r w:rsidRPr="002563E2">
        <w:rPr>
          <w:rFonts w:ascii="Arial" w:hAnsi="Arial" w:cs="Arial"/>
          <w:b/>
          <w:sz w:val="24"/>
          <w:szCs w:val="24"/>
        </w:rPr>
        <w:t xml:space="preserve">convênios de cooperação </w:t>
      </w:r>
      <w:r w:rsidRPr="002563E2">
        <w:rPr>
          <w:rFonts w:ascii="Arial" w:hAnsi="Arial" w:cs="Arial"/>
          <w:sz w:val="24"/>
          <w:szCs w:val="24"/>
        </w:rPr>
        <w:t>entre os entes federados, autorizando a gestão associada de serviços públicos, bem como a transferência total ou parcial de encargos, serviços, pessoal e bens essenciais à continuidade dos serviços transferidos.</w:t>
      </w:r>
    </w:p>
    <w:p w:rsidR="00EE3CD0" w:rsidRPr="002563E2" w:rsidRDefault="00C81E2C" w:rsidP="002563E2">
      <w:pPr>
        <w:pStyle w:val="PargrafodaLista"/>
        <w:numPr>
          <w:ilvl w:val="0"/>
          <w:numId w:val="1"/>
        </w:numPr>
        <w:tabs>
          <w:tab w:val="left" w:pos="310"/>
        </w:tabs>
        <w:spacing w:before="121" w:line="360" w:lineRule="auto"/>
        <w:ind w:firstLine="282"/>
        <w:rPr>
          <w:rFonts w:ascii="Arial" w:hAnsi="Arial" w:cs="Arial"/>
          <w:sz w:val="24"/>
          <w:szCs w:val="24"/>
        </w:rPr>
      </w:pPr>
      <w:r w:rsidRPr="002563E2">
        <w:rPr>
          <w:rFonts w:ascii="Arial" w:hAnsi="Arial" w:cs="Arial"/>
          <w:sz w:val="24"/>
          <w:szCs w:val="24"/>
        </w:rPr>
        <w:t xml:space="preserve">No plano da legislação ordinária, a Lei nº 11.107/2005, que dispõe sobre normas gerais de contratação de consórcios públicos, foi regulamentada pelo Decreto nº 6.017/2007, que definiu os </w:t>
      </w:r>
      <w:r w:rsidRPr="002563E2">
        <w:rPr>
          <w:rFonts w:ascii="Arial" w:hAnsi="Arial" w:cs="Arial"/>
          <w:b/>
          <w:sz w:val="24"/>
          <w:szCs w:val="24"/>
        </w:rPr>
        <w:t xml:space="preserve">consórcios públicos </w:t>
      </w:r>
      <w:r w:rsidRPr="002563E2">
        <w:rPr>
          <w:rFonts w:ascii="Arial" w:hAnsi="Arial" w:cs="Arial"/>
          <w:sz w:val="24"/>
          <w:szCs w:val="24"/>
        </w:rPr>
        <w:t xml:space="preserve">como a </w:t>
      </w:r>
      <w:r w:rsidRPr="002563E2">
        <w:rPr>
          <w:rFonts w:ascii="Arial" w:hAnsi="Arial" w:cs="Arial"/>
          <w:b/>
          <w:sz w:val="24"/>
          <w:szCs w:val="24"/>
        </w:rPr>
        <w:t xml:space="preserve">pessoa jurídica formada exclusivamente por entes da Federação </w:t>
      </w:r>
      <w:r w:rsidRPr="002563E2">
        <w:rPr>
          <w:rFonts w:ascii="Arial" w:hAnsi="Arial" w:cs="Arial"/>
          <w:sz w:val="24"/>
          <w:szCs w:val="24"/>
        </w:rPr>
        <w:t xml:space="preserve">e </w:t>
      </w:r>
      <w:r w:rsidRPr="002563E2">
        <w:rPr>
          <w:rFonts w:ascii="Arial" w:hAnsi="Arial" w:cs="Arial"/>
          <w:b/>
          <w:sz w:val="24"/>
          <w:szCs w:val="24"/>
        </w:rPr>
        <w:t xml:space="preserve">convênio de cooperação </w:t>
      </w:r>
      <w:r w:rsidRPr="002563E2">
        <w:rPr>
          <w:rFonts w:ascii="Arial" w:hAnsi="Arial" w:cs="Arial"/>
          <w:sz w:val="24"/>
          <w:szCs w:val="24"/>
        </w:rPr>
        <w:t xml:space="preserve">como o </w:t>
      </w:r>
      <w:r w:rsidRPr="002563E2">
        <w:rPr>
          <w:rFonts w:ascii="Arial" w:hAnsi="Arial" w:cs="Arial"/>
          <w:b/>
          <w:sz w:val="24"/>
          <w:szCs w:val="24"/>
        </w:rPr>
        <w:t>pacto firmado exclusivamente por entes da</w:t>
      </w:r>
      <w:r w:rsidRPr="002563E2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2563E2">
        <w:rPr>
          <w:rFonts w:ascii="Arial" w:hAnsi="Arial" w:cs="Arial"/>
          <w:b/>
          <w:sz w:val="24"/>
          <w:szCs w:val="24"/>
        </w:rPr>
        <w:t>Federação</w:t>
      </w:r>
      <w:r w:rsidRPr="002563E2">
        <w:rPr>
          <w:rFonts w:ascii="Arial" w:hAnsi="Arial" w:cs="Arial"/>
          <w:sz w:val="24"/>
          <w:szCs w:val="24"/>
        </w:rPr>
        <w:t xml:space="preserve">, com o objetivo de autorizar a gestão associada de serviços </w:t>
      </w:r>
      <w:r w:rsidRPr="002563E2">
        <w:rPr>
          <w:rFonts w:ascii="Arial" w:hAnsi="Arial" w:cs="Arial"/>
          <w:spacing w:val="-2"/>
          <w:sz w:val="24"/>
          <w:szCs w:val="24"/>
        </w:rPr>
        <w:t>públicos.</w:t>
      </w:r>
    </w:p>
    <w:p w:rsidR="00EE3CD0" w:rsidRPr="002563E2" w:rsidRDefault="00C81E2C" w:rsidP="002563E2">
      <w:pPr>
        <w:pStyle w:val="PargrafodaLista"/>
        <w:numPr>
          <w:ilvl w:val="0"/>
          <w:numId w:val="1"/>
        </w:numPr>
        <w:tabs>
          <w:tab w:val="left" w:pos="310"/>
        </w:tabs>
        <w:spacing w:before="122" w:line="360" w:lineRule="auto"/>
        <w:ind w:right="139" w:firstLine="282"/>
        <w:rPr>
          <w:rFonts w:ascii="Arial" w:hAnsi="Arial" w:cs="Arial"/>
          <w:sz w:val="24"/>
          <w:szCs w:val="24"/>
        </w:rPr>
      </w:pPr>
      <w:r w:rsidRPr="002563E2">
        <w:rPr>
          <w:rFonts w:ascii="Arial" w:hAnsi="Arial" w:cs="Arial"/>
          <w:sz w:val="24"/>
          <w:szCs w:val="24"/>
        </w:rPr>
        <w:t xml:space="preserve">A Lei nº 11.445/2007, que institui diretrizes nacionais para o saneamento básico, por sua vez, estabelece que a prestação de serviços públicos de saneamento básico por entidade que não integre a administração do titular depende da celebração de contrato. Trata-se, nos termos do art. 13 da Lei nº 11.107/2005, de </w:t>
      </w:r>
      <w:r w:rsidRPr="002563E2">
        <w:rPr>
          <w:rFonts w:ascii="Arial" w:hAnsi="Arial" w:cs="Arial"/>
          <w:b/>
          <w:sz w:val="24"/>
          <w:szCs w:val="24"/>
        </w:rPr>
        <w:t>contrato de programa</w:t>
      </w:r>
      <w:r w:rsidRPr="002563E2">
        <w:rPr>
          <w:rFonts w:ascii="Arial" w:hAnsi="Arial" w:cs="Arial"/>
          <w:sz w:val="24"/>
          <w:szCs w:val="24"/>
        </w:rPr>
        <w:t xml:space="preserve">, instrumento pelo qual devem ser constituídas e reguladas as </w:t>
      </w:r>
      <w:r w:rsidRPr="002563E2">
        <w:rPr>
          <w:rFonts w:ascii="Arial" w:hAnsi="Arial" w:cs="Arial"/>
          <w:b/>
          <w:sz w:val="24"/>
          <w:szCs w:val="24"/>
        </w:rPr>
        <w:t>obrigações que um ente da Federação,</w:t>
      </w:r>
      <w:r w:rsidRPr="002563E2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2563E2">
        <w:rPr>
          <w:rFonts w:ascii="Arial" w:hAnsi="Arial" w:cs="Arial"/>
          <w:b/>
          <w:sz w:val="24"/>
          <w:szCs w:val="24"/>
        </w:rPr>
        <w:t>inclusive sua administração indireta, tenha para com outro ente da Federação, ou para com consórcio público</w:t>
      </w:r>
      <w:r w:rsidRPr="002563E2">
        <w:rPr>
          <w:rFonts w:ascii="Arial" w:hAnsi="Arial" w:cs="Arial"/>
          <w:sz w:val="24"/>
          <w:szCs w:val="24"/>
        </w:rPr>
        <w:t xml:space="preserve">, no âmbito da prestação de serviços públicos por meio de cooperação federativa (art. 2º, XVI, Decreto nº </w:t>
      </w:r>
      <w:r w:rsidRPr="002563E2">
        <w:rPr>
          <w:rFonts w:ascii="Arial" w:hAnsi="Arial" w:cs="Arial"/>
          <w:spacing w:val="-2"/>
          <w:sz w:val="24"/>
          <w:szCs w:val="24"/>
        </w:rPr>
        <w:t>6.017/2007).</w:t>
      </w:r>
    </w:p>
    <w:p w:rsidR="00EE3CD0" w:rsidRPr="002563E2" w:rsidRDefault="00C81E2C" w:rsidP="002563E2">
      <w:pPr>
        <w:pStyle w:val="PargrafodaLista"/>
        <w:numPr>
          <w:ilvl w:val="0"/>
          <w:numId w:val="1"/>
        </w:numPr>
        <w:tabs>
          <w:tab w:val="left" w:pos="362"/>
        </w:tabs>
        <w:spacing w:before="0" w:line="360" w:lineRule="auto"/>
        <w:ind w:right="138" w:firstLine="282"/>
        <w:rPr>
          <w:rFonts w:ascii="Arial" w:hAnsi="Arial" w:cs="Arial"/>
          <w:sz w:val="24"/>
          <w:szCs w:val="24"/>
        </w:rPr>
      </w:pPr>
      <w:r w:rsidRPr="002563E2">
        <w:rPr>
          <w:rFonts w:ascii="Arial" w:hAnsi="Arial" w:cs="Arial"/>
          <w:sz w:val="24"/>
          <w:szCs w:val="24"/>
        </w:rPr>
        <w:t xml:space="preserve">Vê-se, assim, que, no que tange à prestação do serviço público de saneamento básico, compete exclusivamente ao Município, titular desse serviço, decidir pela </w:t>
      </w:r>
      <w:r w:rsidRPr="002563E2">
        <w:rPr>
          <w:rFonts w:ascii="Arial" w:hAnsi="Arial" w:cs="Arial"/>
          <w:b/>
          <w:sz w:val="24"/>
          <w:szCs w:val="24"/>
        </w:rPr>
        <w:t>prestação de forma direta ou indireta por meio de concessão, permissão, autorização ou gestão associada</w:t>
      </w:r>
      <w:r w:rsidRPr="002563E2">
        <w:rPr>
          <w:rFonts w:ascii="Arial" w:hAnsi="Arial" w:cs="Arial"/>
          <w:sz w:val="24"/>
          <w:szCs w:val="24"/>
        </w:rPr>
        <w:t>.</w:t>
      </w:r>
    </w:p>
    <w:p w:rsidR="00EE3CD0" w:rsidRPr="002563E2" w:rsidRDefault="00C81E2C" w:rsidP="002563E2">
      <w:pPr>
        <w:pStyle w:val="PargrafodaLista"/>
        <w:numPr>
          <w:ilvl w:val="0"/>
          <w:numId w:val="1"/>
        </w:numPr>
        <w:tabs>
          <w:tab w:val="left" w:pos="387"/>
        </w:tabs>
        <w:spacing w:line="360" w:lineRule="auto"/>
        <w:ind w:right="137" w:firstLine="282"/>
        <w:rPr>
          <w:rFonts w:ascii="Arial" w:hAnsi="Arial" w:cs="Arial"/>
          <w:sz w:val="24"/>
          <w:szCs w:val="24"/>
        </w:rPr>
      </w:pPr>
      <w:r w:rsidRPr="002563E2">
        <w:rPr>
          <w:rFonts w:ascii="Arial" w:hAnsi="Arial" w:cs="Arial"/>
          <w:sz w:val="24"/>
          <w:szCs w:val="24"/>
        </w:rPr>
        <w:t xml:space="preserve">A gestão associada de serviços públicos pode ser formatada, com obediência às estipulações constantes na Lei nº 11.107/2005, de uma das seguintes maneiras: a) mediante a formalização de consórcios públicos; ou b) por intermédio da celebração de convênio de cooperação, apenas entre entes </w:t>
      </w:r>
      <w:r w:rsidRPr="002563E2">
        <w:rPr>
          <w:rFonts w:ascii="Arial" w:hAnsi="Arial" w:cs="Arial"/>
          <w:sz w:val="24"/>
          <w:szCs w:val="24"/>
        </w:rPr>
        <w:lastRenderedPageBreak/>
        <w:t>federados, permanecendo a relação no campo estritamente negocial, sem revestir-se o vínculo de personalidade jurídica própria.</w:t>
      </w:r>
    </w:p>
    <w:p w:rsidR="00EE3CD0" w:rsidRPr="002563E2" w:rsidRDefault="00C81E2C" w:rsidP="002563E2">
      <w:pPr>
        <w:pStyle w:val="PargrafodaLista"/>
        <w:numPr>
          <w:ilvl w:val="0"/>
          <w:numId w:val="1"/>
        </w:numPr>
        <w:tabs>
          <w:tab w:val="left" w:pos="299"/>
        </w:tabs>
        <w:spacing w:before="121" w:line="360" w:lineRule="auto"/>
        <w:ind w:firstLine="282"/>
        <w:rPr>
          <w:rFonts w:ascii="Arial" w:hAnsi="Arial" w:cs="Arial"/>
          <w:sz w:val="24"/>
          <w:szCs w:val="24"/>
        </w:rPr>
      </w:pPr>
      <w:r w:rsidRPr="002563E2">
        <w:rPr>
          <w:rFonts w:ascii="Arial" w:hAnsi="Arial" w:cs="Arial"/>
          <w:sz w:val="24"/>
          <w:szCs w:val="24"/>
        </w:rPr>
        <w:t>O convênio de cooperação, entretanto, somente produzirá efeitos entre os entes da Federação cooperantes que disponham previamente, cada um em</w:t>
      </w:r>
      <w:r w:rsidRPr="002563E2">
        <w:rPr>
          <w:rFonts w:ascii="Arial" w:hAnsi="Arial" w:cs="Arial"/>
          <w:spacing w:val="40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sua esfera de poder, de lei disciplinadora de todos dos elementos e efeitos jurídicos da relação, sem prejuízo da aplicação subsidiária do art.</w:t>
      </w:r>
      <w:r w:rsidRPr="002563E2">
        <w:rPr>
          <w:rFonts w:ascii="Arial" w:hAnsi="Arial" w:cs="Arial"/>
          <w:spacing w:val="-1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 xml:space="preserve">116 da Lei nº 8.666/93 (art. 31, § 4º, do Decreto nº 6.017/2007). As referidas leis a </w:t>
      </w:r>
      <w:proofErr w:type="gramStart"/>
      <w:r w:rsidRPr="002563E2">
        <w:rPr>
          <w:rFonts w:ascii="Arial" w:hAnsi="Arial" w:cs="Arial"/>
          <w:sz w:val="24"/>
          <w:szCs w:val="24"/>
        </w:rPr>
        <w:t>serem</w:t>
      </w:r>
      <w:proofErr w:type="gramEnd"/>
      <w:r w:rsidRPr="002563E2">
        <w:rPr>
          <w:rFonts w:ascii="Arial" w:hAnsi="Arial" w:cs="Arial"/>
          <w:sz w:val="24"/>
          <w:szCs w:val="24"/>
        </w:rPr>
        <w:t xml:space="preserve"> elaboradas, nos termos do art. 4º, XI, da Lei nº 11.107/2005, quando compatível, deverão explicitar: a) as competências cujo exercício se transferiu ao consórcio público; b) os serviços públicos objeto da gestão associada e a área em que serão prestados; c) a autorização para licitar ou outorgar concessão, permissão ou autorização da prestação dos serviços; d) as condições a que deve obedecer o contrato de programa, no caso de a gestão associada envolver também a prestação de serviços por órgão ou entidade de um dos entes da Federação consorciados; e) os critérios técnicos para cálculo do valor das tarifas e de outros preços públicos, bem como para seu reajuste</w:t>
      </w:r>
      <w:r w:rsidRPr="002563E2">
        <w:rPr>
          <w:rFonts w:ascii="Arial" w:hAnsi="Arial" w:cs="Arial"/>
          <w:spacing w:val="40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ou revisão.</w:t>
      </w:r>
    </w:p>
    <w:p w:rsidR="00EE3CD0" w:rsidRPr="002563E2" w:rsidRDefault="00C81E2C" w:rsidP="002563E2">
      <w:pPr>
        <w:pStyle w:val="PargrafodaLista"/>
        <w:numPr>
          <w:ilvl w:val="0"/>
          <w:numId w:val="1"/>
        </w:numPr>
        <w:tabs>
          <w:tab w:val="left" w:pos="372"/>
        </w:tabs>
        <w:spacing w:before="223" w:line="360" w:lineRule="auto"/>
        <w:ind w:firstLine="282"/>
        <w:rPr>
          <w:rFonts w:ascii="Arial" w:hAnsi="Arial" w:cs="Arial"/>
          <w:sz w:val="24"/>
          <w:szCs w:val="24"/>
        </w:rPr>
      </w:pPr>
      <w:r w:rsidRPr="002563E2">
        <w:rPr>
          <w:rFonts w:ascii="Arial" w:hAnsi="Arial" w:cs="Arial"/>
          <w:sz w:val="24"/>
          <w:szCs w:val="24"/>
        </w:rPr>
        <w:t>Caso previsto no contrato de consórcio público ou em convênio de cooperação entre entes federados</w:t>
      </w:r>
      <w:proofErr w:type="gramStart"/>
      <w:r w:rsidRPr="002563E2">
        <w:rPr>
          <w:rFonts w:ascii="Arial" w:hAnsi="Arial" w:cs="Arial"/>
          <w:sz w:val="24"/>
          <w:szCs w:val="24"/>
        </w:rPr>
        <w:t>, admitir-se-á</w:t>
      </w:r>
      <w:proofErr w:type="gramEnd"/>
      <w:r w:rsidRPr="002563E2">
        <w:rPr>
          <w:rFonts w:ascii="Arial" w:hAnsi="Arial" w:cs="Arial"/>
          <w:sz w:val="24"/>
          <w:szCs w:val="24"/>
        </w:rPr>
        <w:t xml:space="preserve"> a celebração de </w:t>
      </w:r>
      <w:r w:rsidRPr="002563E2">
        <w:rPr>
          <w:rFonts w:ascii="Arial" w:hAnsi="Arial" w:cs="Arial"/>
          <w:b/>
          <w:sz w:val="24"/>
          <w:szCs w:val="24"/>
        </w:rPr>
        <w:t>contrato de programa</w:t>
      </w:r>
      <w:r w:rsidRPr="002563E2">
        <w:rPr>
          <w:rFonts w:ascii="Arial" w:hAnsi="Arial" w:cs="Arial"/>
          <w:b/>
          <w:spacing w:val="66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com</w:t>
      </w:r>
      <w:r w:rsidRPr="002563E2">
        <w:rPr>
          <w:rFonts w:ascii="Arial" w:hAnsi="Arial" w:cs="Arial"/>
          <w:spacing w:val="69"/>
          <w:sz w:val="24"/>
          <w:szCs w:val="24"/>
        </w:rPr>
        <w:t xml:space="preserve"> </w:t>
      </w:r>
      <w:r w:rsidRPr="002563E2">
        <w:rPr>
          <w:rFonts w:ascii="Arial" w:hAnsi="Arial" w:cs="Arial"/>
          <w:b/>
          <w:sz w:val="24"/>
          <w:szCs w:val="24"/>
        </w:rPr>
        <w:t>autarquia,</w:t>
      </w:r>
      <w:r w:rsidRPr="002563E2">
        <w:rPr>
          <w:rFonts w:ascii="Arial" w:hAnsi="Arial" w:cs="Arial"/>
          <w:b/>
          <w:spacing w:val="68"/>
          <w:sz w:val="24"/>
          <w:szCs w:val="24"/>
        </w:rPr>
        <w:t xml:space="preserve"> </w:t>
      </w:r>
      <w:r w:rsidRPr="002563E2">
        <w:rPr>
          <w:rFonts w:ascii="Arial" w:hAnsi="Arial" w:cs="Arial"/>
          <w:b/>
          <w:sz w:val="24"/>
          <w:szCs w:val="24"/>
        </w:rPr>
        <w:t>empresa</w:t>
      </w:r>
      <w:r w:rsidRPr="002563E2">
        <w:rPr>
          <w:rFonts w:ascii="Arial" w:hAnsi="Arial" w:cs="Arial"/>
          <w:b/>
          <w:spacing w:val="67"/>
          <w:sz w:val="24"/>
          <w:szCs w:val="24"/>
        </w:rPr>
        <w:t xml:space="preserve"> </w:t>
      </w:r>
      <w:r w:rsidRPr="002563E2">
        <w:rPr>
          <w:rFonts w:ascii="Arial" w:hAnsi="Arial" w:cs="Arial"/>
          <w:b/>
          <w:sz w:val="24"/>
          <w:szCs w:val="24"/>
        </w:rPr>
        <w:t>pública</w:t>
      </w:r>
      <w:r w:rsidRPr="002563E2">
        <w:rPr>
          <w:rFonts w:ascii="Arial" w:hAnsi="Arial" w:cs="Arial"/>
          <w:b/>
          <w:spacing w:val="68"/>
          <w:sz w:val="24"/>
          <w:szCs w:val="24"/>
        </w:rPr>
        <w:t xml:space="preserve"> </w:t>
      </w:r>
      <w:r w:rsidRPr="002563E2">
        <w:rPr>
          <w:rFonts w:ascii="Arial" w:hAnsi="Arial" w:cs="Arial"/>
          <w:b/>
          <w:sz w:val="24"/>
          <w:szCs w:val="24"/>
        </w:rPr>
        <w:t>ou</w:t>
      </w:r>
      <w:r w:rsidRPr="002563E2">
        <w:rPr>
          <w:rFonts w:ascii="Arial" w:hAnsi="Arial" w:cs="Arial"/>
          <w:b/>
          <w:spacing w:val="66"/>
          <w:sz w:val="24"/>
          <w:szCs w:val="24"/>
        </w:rPr>
        <w:t xml:space="preserve"> </w:t>
      </w:r>
      <w:r w:rsidRPr="002563E2">
        <w:rPr>
          <w:rFonts w:ascii="Arial" w:hAnsi="Arial" w:cs="Arial"/>
          <w:b/>
          <w:sz w:val="24"/>
          <w:szCs w:val="24"/>
        </w:rPr>
        <w:t>sociedade</w:t>
      </w:r>
      <w:r w:rsidRPr="002563E2">
        <w:rPr>
          <w:rFonts w:ascii="Arial" w:hAnsi="Arial" w:cs="Arial"/>
          <w:b/>
          <w:spacing w:val="68"/>
          <w:sz w:val="24"/>
          <w:szCs w:val="24"/>
        </w:rPr>
        <w:t xml:space="preserve"> </w:t>
      </w:r>
      <w:r w:rsidRPr="002563E2">
        <w:rPr>
          <w:rFonts w:ascii="Arial" w:hAnsi="Arial" w:cs="Arial"/>
          <w:b/>
          <w:sz w:val="24"/>
          <w:szCs w:val="24"/>
        </w:rPr>
        <w:t>de</w:t>
      </w:r>
      <w:r w:rsidRPr="002563E2">
        <w:rPr>
          <w:rFonts w:ascii="Arial" w:hAnsi="Arial" w:cs="Arial"/>
          <w:b/>
          <w:spacing w:val="66"/>
          <w:sz w:val="24"/>
          <w:szCs w:val="24"/>
        </w:rPr>
        <w:t xml:space="preserve"> </w:t>
      </w:r>
      <w:r w:rsidRPr="002563E2">
        <w:rPr>
          <w:rFonts w:ascii="Arial" w:hAnsi="Arial" w:cs="Arial"/>
          <w:b/>
          <w:spacing w:val="-2"/>
          <w:sz w:val="24"/>
          <w:szCs w:val="24"/>
        </w:rPr>
        <w:t>economia</w:t>
      </w:r>
      <w:r w:rsidR="002563E2" w:rsidRPr="002563E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563E2">
        <w:rPr>
          <w:rFonts w:ascii="Arial" w:hAnsi="Arial" w:cs="Arial"/>
          <w:b/>
          <w:sz w:val="24"/>
          <w:szCs w:val="24"/>
        </w:rPr>
        <w:t xml:space="preserve">mista </w:t>
      </w:r>
      <w:r w:rsidRPr="002563E2">
        <w:rPr>
          <w:rFonts w:ascii="Arial" w:hAnsi="Arial" w:cs="Arial"/>
          <w:sz w:val="24"/>
          <w:szCs w:val="24"/>
        </w:rPr>
        <w:t>por dispensa de licitação, devendo o mesmo ser precedido de processo administrativo no âmbito do contratante e o termo de dispensa e a minuta do contrato devem ser previamente examinados e aprovados por assessoria jurídica da Administração (arts. art. 13 da Lei nº 11.107/2005; arts. 10 e 11 da Lei 11.445/2017; arts. 30, 31 e 32 do Decreto nº 6.017/2007; arts.</w:t>
      </w:r>
      <w:r w:rsidRPr="002563E2">
        <w:rPr>
          <w:rFonts w:ascii="Arial" w:hAnsi="Arial" w:cs="Arial"/>
          <w:spacing w:val="-2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 xml:space="preserve">24, XXVI, c/c 26 e 38, VI e parágrafo único, da Lei nº 8.666/93). </w:t>
      </w:r>
      <w:proofErr w:type="gramStart"/>
      <w:r w:rsidRPr="002563E2">
        <w:rPr>
          <w:rFonts w:ascii="Arial" w:hAnsi="Arial" w:cs="Arial"/>
          <w:sz w:val="24"/>
          <w:szCs w:val="24"/>
        </w:rPr>
        <w:t>São</w:t>
      </w:r>
      <w:proofErr w:type="gramEnd"/>
      <w:r w:rsidRPr="002563E2">
        <w:rPr>
          <w:rFonts w:ascii="Arial" w:hAnsi="Arial" w:cs="Arial"/>
          <w:sz w:val="24"/>
          <w:szCs w:val="24"/>
        </w:rPr>
        <w:t xml:space="preserve"> condições de validade de tais contratos a existência de </w:t>
      </w:r>
      <w:r w:rsidRPr="002563E2">
        <w:rPr>
          <w:rFonts w:ascii="Arial" w:hAnsi="Arial" w:cs="Arial"/>
          <w:b/>
          <w:sz w:val="24"/>
          <w:szCs w:val="24"/>
        </w:rPr>
        <w:t>plano de saneamento básico</w:t>
      </w:r>
      <w:r w:rsidRPr="002563E2">
        <w:rPr>
          <w:rFonts w:ascii="Arial" w:hAnsi="Arial" w:cs="Arial"/>
          <w:sz w:val="24"/>
          <w:szCs w:val="24"/>
        </w:rPr>
        <w:t xml:space="preserve">; a elaboração de </w:t>
      </w:r>
      <w:r w:rsidRPr="002563E2">
        <w:rPr>
          <w:rFonts w:ascii="Arial" w:hAnsi="Arial" w:cs="Arial"/>
          <w:b/>
          <w:sz w:val="24"/>
          <w:szCs w:val="24"/>
        </w:rPr>
        <w:t xml:space="preserve">estudo comprovando a viabilidade técnica e econômico-financeira </w:t>
      </w:r>
      <w:r w:rsidRPr="002563E2">
        <w:rPr>
          <w:rFonts w:ascii="Arial" w:hAnsi="Arial" w:cs="Arial"/>
          <w:sz w:val="24"/>
          <w:szCs w:val="24"/>
        </w:rPr>
        <w:t xml:space="preserve">da prestação universal e integral dos serviços, nos termos do respectivo plano de saneamento básico; a </w:t>
      </w:r>
      <w:r w:rsidRPr="002563E2">
        <w:rPr>
          <w:rFonts w:ascii="Arial" w:hAnsi="Arial" w:cs="Arial"/>
          <w:b/>
          <w:sz w:val="24"/>
          <w:szCs w:val="24"/>
        </w:rPr>
        <w:t xml:space="preserve">existência de normas de regulação </w:t>
      </w:r>
      <w:r w:rsidRPr="002563E2">
        <w:rPr>
          <w:rFonts w:ascii="Arial" w:hAnsi="Arial" w:cs="Arial"/>
          <w:sz w:val="24"/>
          <w:szCs w:val="24"/>
        </w:rPr>
        <w:t>que prevejam os meios para o cumprimento das diretrizes da Lei</w:t>
      </w:r>
      <w:r w:rsidRPr="002563E2">
        <w:rPr>
          <w:rFonts w:ascii="Arial" w:hAnsi="Arial" w:cs="Arial"/>
          <w:spacing w:val="40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 xml:space="preserve">nº 11.445/07, incluindo a </w:t>
      </w:r>
      <w:r w:rsidRPr="002563E2">
        <w:rPr>
          <w:rFonts w:ascii="Arial" w:hAnsi="Arial" w:cs="Arial"/>
          <w:sz w:val="24"/>
          <w:szCs w:val="24"/>
        </w:rPr>
        <w:lastRenderedPageBreak/>
        <w:t>designação da entidade de regulação e de fiscalização; e a realização prévia</w:t>
      </w:r>
      <w:r w:rsidRPr="002563E2">
        <w:rPr>
          <w:rFonts w:ascii="Arial" w:hAnsi="Arial" w:cs="Arial"/>
          <w:spacing w:val="40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 xml:space="preserve">de </w:t>
      </w:r>
      <w:r w:rsidRPr="002563E2">
        <w:rPr>
          <w:rFonts w:ascii="Arial" w:hAnsi="Arial" w:cs="Arial"/>
          <w:b/>
          <w:sz w:val="24"/>
          <w:szCs w:val="24"/>
        </w:rPr>
        <w:t xml:space="preserve">audiência e de consulta públicas </w:t>
      </w:r>
      <w:r w:rsidRPr="002563E2">
        <w:rPr>
          <w:rFonts w:ascii="Arial" w:hAnsi="Arial" w:cs="Arial"/>
          <w:sz w:val="24"/>
          <w:szCs w:val="24"/>
        </w:rPr>
        <w:t>sobre o edital de licitação, no caso de concessão, e sobre a minuta do contrato, incluindo o Contrato de Programa</w:t>
      </w:r>
      <w:r w:rsidRPr="002563E2">
        <w:rPr>
          <w:rFonts w:ascii="Arial" w:hAnsi="Arial" w:cs="Arial"/>
          <w:spacing w:val="40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(art. 11, Lei 11.445/2007).</w:t>
      </w:r>
    </w:p>
    <w:p w:rsidR="00EE3CD0" w:rsidRPr="002563E2" w:rsidRDefault="00C81E2C" w:rsidP="002563E2">
      <w:pPr>
        <w:pStyle w:val="PargrafodaLista"/>
        <w:numPr>
          <w:ilvl w:val="0"/>
          <w:numId w:val="1"/>
        </w:numPr>
        <w:tabs>
          <w:tab w:val="left" w:pos="434"/>
        </w:tabs>
        <w:spacing w:before="122" w:line="360" w:lineRule="auto"/>
        <w:ind w:firstLine="282"/>
        <w:rPr>
          <w:rFonts w:ascii="Arial" w:hAnsi="Arial" w:cs="Arial"/>
          <w:sz w:val="24"/>
          <w:szCs w:val="24"/>
        </w:rPr>
      </w:pPr>
      <w:r w:rsidRPr="002563E2">
        <w:rPr>
          <w:rFonts w:ascii="Arial" w:hAnsi="Arial" w:cs="Arial"/>
          <w:sz w:val="24"/>
          <w:szCs w:val="24"/>
        </w:rPr>
        <w:t>É obrigatória, para a elaboração do contrato de programa, a observância das disposições do art. 13 da Lei n° 11.107/05, art. 23 da Lei n° 8.987/95 e art. 55 da Lei n° 8.666/93 (art. 40, Decreto nº 7.217/2010). Caso exista Agência Reguladora em um dos entes titulares do serviço, faz-se necessário que os documentos que digam respeito ao Convênio de Cooperação, tais como os referentes</w:t>
      </w:r>
      <w:r w:rsidRPr="002563E2">
        <w:rPr>
          <w:rFonts w:ascii="Arial" w:hAnsi="Arial" w:cs="Arial"/>
          <w:spacing w:val="-3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à</w:t>
      </w:r>
      <w:r w:rsidRPr="002563E2">
        <w:rPr>
          <w:rFonts w:ascii="Arial" w:hAnsi="Arial" w:cs="Arial"/>
          <w:spacing w:val="-4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gestão,</w:t>
      </w:r>
      <w:r w:rsidRPr="002563E2">
        <w:rPr>
          <w:rFonts w:ascii="Arial" w:hAnsi="Arial" w:cs="Arial"/>
          <w:spacing w:val="-2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operacionalização,</w:t>
      </w:r>
      <w:r w:rsidRPr="002563E2">
        <w:rPr>
          <w:rFonts w:ascii="Arial" w:hAnsi="Arial" w:cs="Arial"/>
          <w:spacing w:val="-2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política</w:t>
      </w:r>
      <w:r w:rsidRPr="002563E2">
        <w:rPr>
          <w:rFonts w:ascii="Arial" w:hAnsi="Arial" w:cs="Arial"/>
          <w:spacing w:val="-2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tarifária</w:t>
      </w:r>
      <w:r w:rsidRPr="002563E2">
        <w:rPr>
          <w:rFonts w:ascii="Arial" w:hAnsi="Arial" w:cs="Arial"/>
          <w:spacing w:val="-4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e</w:t>
      </w:r>
      <w:r w:rsidRPr="002563E2">
        <w:rPr>
          <w:rFonts w:ascii="Arial" w:hAnsi="Arial" w:cs="Arial"/>
          <w:spacing w:val="-4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normas</w:t>
      </w:r>
      <w:r w:rsidRPr="002563E2">
        <w:rPr>
          <w:rFonts w:ascii="Arial" w:hAnsi="Arial" w:cs="Arial"/>
          <w:spacing w:val="-4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de regulação, sejam</w:t>
      </w:r>
      <w:r w:rsidRPr="002563E2">
        <w:rPr>
          <w:rFonts w:ascii="Arial" w:hAnsi="Arial" w:cs="Arial"/>
          <w:spacing w:val="-3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analisados</w:t>
      </w:r>
      <w:r w:rsidRPr="002563E2">
        <w:rPr>
          <w:rFonts w:ascii="Arial" w:hAnsi="Arial" w:cs="Arial"/>
          <w:spacing w:val="-2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por</w:t>
      </w:r>
      <w:r w:rsidRPr="002563E2">
        <w:rPr>
          <w:rFonts w:ascii="Arial" w:hAnsi="Arial" w:cs="Arial"/>
          <w:spacing w:val="-3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aquela,</w:t>
      </w:r>
      <w:r w:rsidRPr="002563E2">
        <w:rPr>
          <w:rFonts w:ascii="Arial" w:hAnsi="Arial" w:cs="Arial"/>
          <w:spacing w:val="-1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com a</w:t>
      </w:r>
      <w:r w:rsidRPr="002563E2">
        <w:rPr>
          <w:rFonts w:ascii="Arial" w:hAnsi="Arial" w:cs="Arial"/>
          <w:spacing w:val="-1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respectiva</w:t>
      </w:r>
      <w:r w:rsidRPr="002563E2">
        <w:rPr>
          <w:rFonts w:ascii="Arial" w:hAnsi="Arial" w:cs="Arial"/>
          <w:spacing w:val="-1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emissão</w:t>
      </w:r>
      <w:r w:rsidRPr="002563E2">
        <w:rPr>
          <w:rFonts w:ascii="Arial" w:hAnsi="Arial" w:cs="Arial"/>
          <w:spacing w:val="-1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de</w:t>
      </w:r>
      <w:r w:rsidRPr="002563E2">
        <w:rPr>
          <w:rFonts w:ascii="Arial" w:hAnsi="Arial" w:cs="Arial"/>
          <w:spacing w:val="-1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parecer. No</w:t>
      </w:r>
      <w:r w:rsidRPr="002563E2">
        <w:rPr>
          <w:rFonts w:ascii="Arial" w:hAnsi="Arial" w:cs="Arial"/>
          <w:spacing w:val="-1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tocante ao parecer do Conselho Municipal de Saneamento Básico – CMSB, caso</w:t>
      </w:r>
      <w:r w:rsidRPr="002563E2">
        <w:rPr>
          <w:rFonts w:ascii="Arial" w:hAnsi="Arial" w:cs="Arial"/>
          <w:spacing w:val="40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exista, tem-se que não apenas é necessário, mas requisito de validade do convênio de cooperação ou contrato de programa (TC/004715/2016).</w:t>
      </w:r>
    </w:p>
    <w:p w:rsidR="00EE3CD0" w:rsidRPr="002563E2" w:rsidRDefault="00C81E2C" w:rsidP="002563E2">
      <w:pPr>
        <w:pStyle w:val="PargrafodaLista"/>
        <w:numPr>
          <w:ilvl w:val="0"/>
          <w:numId w:val="1"/>
        </w:numPr>
        <w:tabs>
          <w:tab w:val="left" w:pos="486"/>
        </w:tabs>
        <w:spacing w:before="223" w:line="360" w:lineRule="auto"/>
        <w:ind w:firstLine="282"/>
        <w:rPr>
          <w:rFonts w:ascii="Arial" w:hAnsi="Arial" w:cs="Arial"/>
          <w:sz w:val="24"/>
          <w:szCs w:val="24"/>
        </w:rPr>
      </w:pPr>
      <w:r w:rsidRPr="002563E2">
        <w:rPr>
          <w:rFonts w:ascii="Arial" w:hAnsi="Arial" w:cs="Arial"/>
          <w:sz w:val="24"/>
          <w:szCs w:val="24"/>
        </w:rPr>
        <w:t xml:space="preserve">Por fim, o Município que possui contrato de concessão, contrato de programa, contrato emergencial e/ou qualquer outro termo formal para a prestação de serviços públicos de abastecimento de água e esgotamento sanitário </w:t>
      </w:r>
      <w:r w:rsidRPr="002563E2">
        <w:rPr>
          <w:rFonts w:ascii="Arial" w:hAnsi="Arial" w:cs="Arial"/>
          <w:b/>
          <w:sz w:val="24"/>
          <w:szCs w:val="24"/>
        </w:rPr>
        <w:t>vencido ou</w:t>
      </w:r>
      <w:r w:rsidRPr="002563E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563E2">
        <w:rPr>
          <w:rFonts w:ascii="Arial" w:hAnsi="Arial" w:cs="Arial"/>
          <w:b/>
          <w:sz w:val="24"/>
          <w:szCs w:val="24"/>
        </w:rPr>
        <w:t>precário</w:t>
      </w:r>
      <w:r w:rsidRPr="002563E2">
        <w:rPr>
          <w:rFonts w:ascii="Arial" w:hAnsi="Arial" w:cs="Arial"/>
          <w:sz w:val="24"/>
          <w:szCs w:val="24"/>
        </w:rPr>
        <w:t>, mas</w:t>
      </w:r>
      <w:r w:rsidRPr="002563E2">
        <w:rPr>
          <w:rFonts w:ascii="Arial" w:hAnsi="Arial" w:cs="Arial"/>
          <w:spacing w:val="-1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>que tem empresa pública e/ou entidade da</w:t>
      </w:r>
      <w:r w:rsidR="002563E2" w:rsidRPr="002563E2">
        <w:rPr>
          <w:rFonts w:ascii="Arial" w:hAnsi="Arial" w:cs="Arial"/>
          <w:sz w:val="24"/>
          <w:szCs w:val="24"/>
        </w:rPr>
        <w:t xml:space="preserve"> </w:t>
      </w:r>
      <w:r w:rsidRPr="002563E2">
        <w:rPr>
          <w:rFonts w:ascii="Arial" w:hAnsi="Arial" w:cs="Arial"/>
          <w:sz w:val="24"/>
          <w:szCs w:val="24"/>
        </w:rPr>
        <w:t xml:space="preserve">administração indireta de outro ente federado ainda prestando tais serviços deverá regularizar a situação com </w:t>
      </w:r>
      <w:r w:rsidRPr="002563E2">
        <w:rPr>
          <w:rFonts w:ascii="Arial" w:hAnsi="Arial" w:cs="Arial"/>
          <w:b/>
          <w:sz w:val="24"/>
          <w:szCs w:val="24"/>
        </w:rPr>
        <w:t>urgência</w:t>
      </w:r>
      <w:r w:rsidRPr="002563E2">
        <w:rPr>
          <w:rFonts w:ascii="Arial" w:hAnsi="Arial" w:cs="Arial"/>
          <w:sz w:val="24"/>
          <w:szCs w:val="24"/>
        </w:rPr>
        <w:t xml:space="preserve">, após, adotar alguma das formas de prestação de serviços de forma direta ou indireta (concessão, permissão, autorização ou gestão associada, compiladas no art. 38 do Decreto nº 7.217/2010), podendo constituir ato de improbidade administrativa que causa prejuízo ao erário </w:t>
      </w:r>
      <w:proofErr w:type="gramStart"/>
      <w:r w:rsidRPr="002563E2">
        <w:rPr>
          <w:rFonts w:ascii="Arial" w:hAnsi="Arial" w:cs="Arial"/>
          <w:sz w:val="24"/>
          <w:szCs w:val="24"/>
        </w:rPr>
        <w:t>a</w:t>
      </w:r>
      <w:proofErr w:type="gramEnd"/>
      <w:r w:rsidRPr="002563E2">
        <w:rPr>
          <w:rFonts w:ascii="Arial" w:hAnsi="Arial" w:cs="Arial"/>
          <w:sz w:val="24"/>
          <w:szCs w:val="24"/>
        </w:rPr>
        <w:t xml:space="preserve"> celebração de contrato ou outro instrumento que tenha por objeto a prestação de serviços públicos por meio da gestão associada sem observar as formalidades previstas em lei, consoante fixado no art. 10, XIV, da Lei Federal nº 8.429/1992.</w:t>
      </w:r>
    </w:p>
    <w:p w:rsidR="00C81E2C" w:rsidRDefault="00C81E2C" w:rsidP="002563E2">
      <w:pPr>
        <w:pStyle w:val="Corpodetexto"/>
        <w:spacing w:line="360" w:lineRule="auto"/>
        <w:ind w:left="2" w:right="136"/>
        <w:jc w:val="both"/>
        <w:rPr>
          <w:rFonts w:ascii="Arial" w:hAnsi="Arial" w:cs="Arial"/>
        </w:rPr>
      </w:pPr>
    </w:p>
    <w:p w:rsidR="002563E2" w:rsidRPr="002563E2" w:rsidRDefault="002563E2" w:rsidP="002563E2">
      <w:pPr>
        <w:pStyle w:val="Corpodetexto"/>
        <w:spacing w:line="360" w:lineRule="auto"/>
        <w:ind w:left="2" w:right="136"/>
        <w:jc w:val="both"/>
        <w:rPr>
          <w:rFonts w:ascii="Arial" w:hAnsi="Arial" w:cs="Arial"/>
        </w:rPr>
      </w:pPr>
    </w:p>
    <w:p w:rsidR="00C81E2C" w:rsidRPr="002563E2" w:rsidRDefault="00C81E2C">
      <w:pPr>
        <w:pStyle w:val="Corpodetexto"/>
        <w:spacing w:line="360" w:lineRule="auto"/>
        <w:ind w:left="2" w:right="136"/>
        <w:jc w:val="both"/>
        <w:rPr>
          <w:rFonts w:ascii="Arial" w:hAnsi="Arial" w:cs="Arial"/>
        </w:rPr>
      </w:pPr>
    </w:p>
    <w:sectPr w:rsidR="00C81E2C" w:rsidRPr="002563E2">
      <w:headerReference w:type="default" r:id="rId8"/>
      <w:footerReference w:type="default" r:id="rId9"/>
      <w:pgSz w:w="11910" w:h="16840"/>
      <w:pgMar w:top="2440" w:right="1559" w:bottom="280" w:left="1700" w:header="9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89" w:rsidRDefault="00C81E2C">
      <w:r>
        <w:separator/>
      </w:r>
    </w:p>
  </w:endnote>
  <w:endnote w:type="continuationSeparator" w:id="0">
    <w:p w:rsidR="00697689" w:rsidRDefault="00C8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E2" w:rsidRDefault="002563E2">
    <w:pPr>
      <w:pStyle w:val="Rodap"/>
    </w:pPr>
  </w:p>
  <w:p w:rsidR="002563E2" w:rsidRDefault="002563E2">
    <w:pPr>
      <w:pStyle w:val="Rodap"/>
    </w:pPr>
  </w:p>
  <w:p w:rsidR="002563E2" w:rsidRDefault="002563E2">
    <w:pPr>
      <w:pStyle w:val="Rodap"/>
    </w:pPr>
  </w:p>
  <w:p w:rsidR="002563E2" w:rsidRDefault="002563E2">
    <w:pPr>
      <w:pStyle w:val="Rodap"/>
    </w:pPr>
  </w:p>
  <w:p w:rsidR="002563E2" w:rsidRDefault="002563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89" w:rsidRDefault="00C81E2C">
      <w:r>
        <w:separator/>
      </w:r>
    </w:p>
  </w:footnote>
  <w:footnote w:type="continuationSeparator" w:id="0">
    <w:p w:rsidR="00697689" w:rsidRDefault="00C81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D0" w:rsidRDefault="00C81E2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47904" behindDoc="1" locked="0" layoutInCell="1" allowOverlap="1" wp14:anchorId="65AB85E0" wp14:editId="003BBC85">
          <wp:simplePos x="0" y="0"/>
          <wp:positionH relativeFrom="page">
            <wp:posOffset>1124585</wp:posOffset>
          </wp:positionH>
          <wp:positionV relativeFrom="page">
            <wp:posOffset>620267</wp:posOffset>
          </wp:positionV>
          <wp:extent cx="762000" cy="93332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933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7548416" behindDoc="1" locked="0" layoutInCell="1" allowOverlap="1" wp14:anchorId="0EBBDB23" wp14:editId="57D2969F">
          <wp:simplePos x="0" y="0"/>
          <wp:positionH relativeFrom="page">
            <wp:posOffset>5535295</wp:posOffset>
          </wp:positionH>
          <wp:positionV relativeFrom="page">
            <wp:posOffset>629665</wp:posOffset>
          </wp:positionV>
          <wp:extent cx="952500" cy="90487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44E92FDA" wp14:editId="40DDA54C">
              <wp:simplePos x="0" y="0"/>
              <wp:positionH relativeFrom="page">
                <wp:posOffset>2057145</wp:posOffset>
              </wp:positionH>
              <wp:positionV relativeFrom="page">
                <wp:posOffset>876704</wp:posOffset>
              </wp:positionV>
              <wp:extent cx="1864360" cy="5969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4360" cy="596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3CD0" w:rsidRDefault="00C81E2C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2"/>
                            </w:rPr>
                            <w:t>Piauí</w:t>
                          </w:r>
                        </w:p>
                        <w:p w:rsidR="00EE3CD0" w:rsidRDefault="00C81E2C">
                          <w:pPr>
                            <w:spacing w:before="174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Tribunal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>Contas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62pt;margin-top:69.05pt;width:146.8pt;height:47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" filled="f" stroked="f">
              <v:path arrowok="t"/>
              <v:textbox inset="0,0,0,0">
                <w:txbxContent>
                  <w:p w:rsidR="00EE3CD0" w:rsidRDefault="00C81E2C">
                    <w:pPr>
                      <w:spacing w:before="9"/>
                      <w:ind w:left="20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32"/>
                      </w:rPr>
                      <w:t>Piauí</w:t>
                    </w:r>
                  </w:p>
                  <w:p w:rsidR="00EE3CD0" w:rsidRDefault="00C81E2C">
                    <w:pPr>
                      <w:spacing w:before="174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Tribunal</w:t>
                    </w:r>
                    <w:r>
                      <w:rPr>
                        <w:rFonts w:ascii="Arial"/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>Contas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744"/>
    <w:multiLevelType w:val="hybridMultilevel"/>
    <w:tmpl w:val="BF8AAB7E"/>
    <w:lvl w:ilvl="0" w:tplc="B5F61BE6">
      <w:start w:val="1"/>
      <w:numFmt w:val="decimal"/>
      <w:lvlText w:val="%1."/>
      <w:lvlJc w:val="left"/>
      <w:pPr>
        <w:ind w:left="2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F1478C8">
      <w:numFmt w:val="bullet"/>
      <w:lvlText w:val="•"/>
      <w:lvlJc w:val="left"/>
      <w:pPr>
        <w:ind w:left="864" w:hanging="284"/>
      </w:pPr>
      <w:rPr>
        <w:rFonts w:hint="default"/>
        <w:lang w:val="pt-PT" w:eastAsia="en-US" w:bidi="ar-SA"/>
      </w:rPr>
    </w:lvl>
    <w:lvl w:ilvl="2" w:tplc="F926B7C4">
      <w:numFmt w:val="bullet"/>
      <w:lvlText w:val="•"/>
      <w:lvlJc w:val="left"/>
      <w:pPr>
        <w:ind w:left="1729" w:hanging="284"/>
      </w:pPr>
      <w:rPr>
        <w:rFonts w:hint="default"/>
        <w:lang w:val="pt-PT" w:eastAsia="en-US" w:bidi="ar-SA"/>
      </w:rPr>
    </w:lvl>
    <w:lvl w:ilvl="3" w:tplc="7BA2788C">
      <w:numFmt w:val="bullet"/>
      <w:lvlText w:val="•"/>
      <w:lvlJc w:val="left"/>
      <w:pPr>
        <w:ind w:left="2594" w:hanging="284"/>
      </w:pPr>
      <w:rPr>
        <w:rFonts w:hint="default"/>
        <w:lang w:val="pt-PT" w:eastAsia="en-US" w:bidi="ar-SA"/>
      </w:rPr>
    </w:lvl>
    <w:lvl w:ilvl="4" w:tplc="226CEADA">
      <w:numFmt w:val="bullet"/>
      <w:lvlText w:val="•"/>
      <w:lvlJc w:val="left"/>
      <w:pPr>
        <w:ind w:left="3458" w:hanging="284"/>
      </w:pPr>
      <w:rPr>
        <w:rFonts w:hint="default"/>
        <w:lang w:val="pt-PT" w:eastAsia="en-US" w:bidi="ar-SA"/>
      </w:rPr>
    </w:lvl>
    <w:lvl w:ilvl="5" w:tplc="30E6400A">
      <w:numFmt w:val="bullet"/>
      <w:lvlText w:val="•"/>
      <w:lvlJc w:val="left"/>
      <w:pPr>
        <w:ind w:left="4323" w:hanging="284"/>
      </w:pPr>
      <w:rPr>
        <w:rFonts w:hint="default"/>
        <w:lang w:val="pt-PT" w:eastAsia="en-US" w:bidi="ar-SA"/>
      </w:rPr>
    </w:lvl>
    <w:lvl w:ilvl="6" w:tplc="449C8302">
      <w:numFmt w:val="bullet"/>
      <w:lvlText w:val="•"/>
      <w:lvlJc w:val="left"/>
      <w:pPr>
        <w:ind w:left="5188" w:hanging="284"/>
      </w:pPr>
      <w:rPr>
        <w:rFonts w:hint="default"/>
        <w:lang w:val="pt-PT" w:eastAsia="en-US" w:bidi="ar-SA"/>
      </w:rPr>
    </w:lvl>
    <w:lvl w:ilvl="7" w:tplc="7F660AC4">
      <w:numFmt w:val="bullet"/>
      <w:lvlText w:val="•"/>
      <w:lvlJc w:val="left"/>
      <w:pPr>
        <w:ind w:left="6053" w:hanging="284"/>
      </w:pPr>
      <w:rPr>
        <w:rFonts w:hint="default"/>
        <w:lang w:val="pt-PT" w:eastAsia="en-US" w:bidi="ar-SA"/>
      </w:rPr>
    </w:lvl>
    <w:lvl w:ilvl="8" w:tplc="81AC421E">
      <w:numFmt w:val="bullet"/>
      <w:lvlText w:val="•"/>
      <w:lvlJc w:val="left"/>
      <w:pPr>
        <w:ind w:left="6917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E3CD0"/>
    <w:rsid w:val="002563E2"/>
    <w:rsid w:val="00391A66"/>
    <w:rsid w:val="005E50DF"/>
    <w:rsid w:val="00697689"/>
    <w:rsid w:val="00874FDD"/>
    <w:rsid w:val="00C81E2C"/>
    <w:rsid w:val="00D42B80"/>
    <w:rsid w:val="00E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/>
      <w:ind w:left="20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20"/>
      <w:ind w:left="2" w:right="1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81E2C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2563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63E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63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63E2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3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3E2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/>
      <w:ind w:left="20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20"/>
      <w:ind w:left="2" w:right="1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81E2C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2563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63E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63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63E2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3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3E2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1256</Words>
  <Characters>6786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 Soares de Araujo</dc:creator>
  <cp:lastModifiedBy>Yngrid Fernandes Nogueira de Sousa</cp:lastModifiedBy>
  <cp:revision>9</cp:revision>
  <cp:lastPrinted>2025-03-27T11:17:00Z</cp:lastPrinted>
  <dcterms:created xsi:type="dcterms:W3CDTF">2025-01-30T12:28:00Z</dcterms:created>
  <dcterms:modified xsi:type="dcterms:W3CDTF">2025-03-27T11:17:00Z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2010</vt:lpwstr>
  </property>
</Properties>
</file>