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5AF" w:rsidRPr="007A0AA2" w:rsidRDefault="00BD45AF">
      <w:pPr>
        <w:pStyle w:val="Corpodetexto"/>
        <w:rPr>
          <w:rFonts w:ascii="Times New Roman"/>
        </w:rPr>
      </w:pPr>
    </w:p>
    <w:p w:rsidR="00BD45AF" w:rsidRPr="007A0AA2" w:rsidRDefault="00B96BD5">
      <w:pPr>
        <w:ind w:left="2"/>
        <w:rPr>
          <w:rFonts w:ascii="Arial" w:hAnsi="Arial" w:cs="Arial"/>
          <w:b/>
          <w:sz w:val="24"/>
          <w:szCs w:val="24"/>
        </w:rPr>
      </w:pPr>
      <w:r w:rsidRPr="007A0AA2">
        <w:rPr>
          <w:rFonts w:ascii="Arial" w:hAnsi="Arial" w:cs="Arial"/>
          <w:b/>
          <w:sz w:val="24"/>
          <w:szCs w:val="24"/>
        </w:rPr>
        <w:t>NOTA</w:t>
      </w:r>
      <w:r w:rsidRPr="007A0AA2">
        <w:rPr>
          <w:rFonts w:ascii="Arial" w:hAnsi="Arial" w:cs="Arial"/>
          <w:b/>
          <w:spacing w:val="-8"/>
          <w:sz w:val="24"/>
          <w:szCs w:val="24"/>
        </w:rPr>
        <w:t xml:space="preserve"> </w:t>
      </w:r>
      <w:r w:rsidRPr="007A0AA2">
        <w:rPr>
          <w:rFonts w:ascii="Arial" w:hAnsi="Arial" w:cs="Arial"/>
          <w:b/>
          <w:sz w:val="24"/>
          <w:szCs w:val="24"/>
        </w:rPr>
        <w:t>TÉCNICA</w:t>
      </w:r>
      <w:r w:rsidRPr="007A0AA2">
        <w:rPr>
          <w:rFonts w:ascii="Arial" w:hAnsi="Arial" w:cs="Arial"/>
          <w:b/>
          <w:spacing w:val="-8"/>
          <w:sz w:val="24"/>
          <w:szCs w:val="24"/>
        </w:rPr>
        <w:t xml:space="preserve"> </w:t>
      </w:r>
      <w:r w:rsidRPr="007A0AA2">
        <w:rPr>
          <w:rFonts w:ascii="Arial" w:hAnsi="Arial" w:cs="Arial"/>
          <w:b/>
          <w:spacing w:val="-2"/>
          <w:sz w:val="24"/>
          <w:szCs w:val="24"/>
        </w:rPr>
        <w:t>003/2017</w:t>
      </w:r>
    </w:p>
    <w:p w:rsidR="00BD45AF" w:rsidRPr="007A0AA2" w:rsidRDefault="00BD45AF">
      <w:pPr>
        <w:pStyle w:val="Corpodetexto"/>
        <w:rPr>
          <w:rFonts w:ascii="Arial" w:hAnsi="Arial" w:cs="Arial"/>
          <w:b/>
          <w:sz w:val="20"/>
        </w:rPr>
      </w:pPr>
    </w:p>
    <w:p w:rsidR="00BD45AF" w:rsidRPr="00E8524C" w:rsidRDefault="00B96BD5" w:rsidP="00E8524C">
      <w:pPr>
        <w:pStyle w:val="Corpodetexto"/>
        <w:spacing w:line="360" w:lineRule="auto"/>
        <w:ind w:left="3969" w:right="138"/>
        <w:jc w:val="both"/>
        <w:rPr>
          <w:rFonts w:ascii="Arial" w:hAnsi="Arial" w:cs="Arial"/>
          <w:b/>
          <w:sz w:val="20"/>
        </w:rPr>
      </w:pPr>
      <w:r w:rsidRPr="00E8524C">
        <w:rPr>
          <w:rFonts w:ascii="Arial" w:hAnsi="Arial" w:cs="Arial"/>
          <w:b/>
          <w:sz w:val="20"/>
        </w:rPr>
        <w:t xml:space="preserve">Assunto: Orientação aos jurisdicionados do TCE-PI acerca da publicação dos atos administrativos e normativos que lhes </w:t>
      </w:r>
      <w:r w:rsidRPr="00E8524C">
        <w:rPr>
          <w:rFonts w:ascii="Arial" w:hAnsi="Arial" w:cs="Arial"/>
          <w:b/>
          <w:spacing w:val="-2"/>
          <w:sz w:val="20"/>
        </w:rPr>
        <w:t>competem.</w:t>
      </w:r>
    </w:p>
    <w:p w:rsidR="00BD45AF" w:rsidRPr="007A0AA2" w:rsidRDefault="00BD45AF">
      <w:pPr>
        <w:pStyle w:val="Corpodetexto"/>
        <w:spacing w:before="102"/>
        <w:rPr>
          <w:rFonts w:ascii="Arial" w:hAnsi="Arial" w:cs="Arial"/>
        </w:rPr>
      </w:pPr>
      <w:bookmarkStart w:id="0" w:name="_GoBack"/>
      <w:bookmarkEnd w:id="0"/>
    </w:p>
    <w:p w:rsidR="00BD45AF" w:rsidRPr="007A0AA2" w:rsidRDefault="00B96BD5" w:rsidP="007A0AA2">
      <w:pPr>
        <w:pStyle w:val="Corpodetexto"/>
        <w:spacing w:line="360" w:lineRule="auto"/>
        <w:ind w:left="2" w:right="137" w:firstLine="718"/>
        <w:jc w:val="both"/>
        <w:rPr>
          <w:rFonts w:ascii="Arial" w:hAnsi="Arial" w:cs="Arial"/>
        </w:rPr>
      </w:pPr>
      <w:r w:rsidRPr="007A0AA2">
        <w:rPr>
          <w:rFonts w:ascii="Arial" w:hAnsi="Arial" w:cs="Arial"/>
        </w:rPr>
        <w:t>Considerando a criação de “Diário dos Municípios” pela Associação Piauiense dos Municípios (APPM) e adesão pelos gestores piauienses, conforme amplamente</w:t>
      </w:r>
      <w:r w:rsidRPr="007A0AA2">
        <w:rPr>
          <w:rFonts w:ascii="Arial" w:hAnsi="Arial" w:cs="Arial"/>
          <w:spacing w:val="-2"/>
        </w:rPr>
        <w:t xml:space="preserve"> </w:t>
      </w:r>
      <w:r w:rsidRPr="007A0AA2">
        <w:rPr>
          <w:rFonts w:ascii="Arial" w:hAnsi="Arial" w:cs="Arial"/>
        </w:rPr>
        <w:t>divulgado</w:t>
      </w:r>
      <w:r w:rsidRPr="007A0AA2">
        <w:rPr>
          <w:rFonts w:ascii="Arial" w:hAnsi="Arial" w:cs="Arial"/>
          <w:spacing w:val="-2"/>
        </w:rPr>
        <w:t xml:space="preserve"> </w:t>
      </w:r>
      <w:r w:rsidRPr="007A0AA2">
        <w:rPr>
          <w:rFonts w:ascii="Arial" w:hAnsi="Arial" w:cs="Arial"/>
        </w:rPr>
        <w:t>em</w:t>
      </w:r>
      <w:r w:rsidRPr="007A0AA2">
        <w:rPr>
          <w:rFonts w:ascii="Arial" w:hAnsi="Arial" w:cs="Arial"/>
          <w:spacing w:val="-1"/>
        </w:rPr>
        <w:t xml:space="preserve"> </w:t>
      </w:r>
      <w:r w:rsidRPr="007A0AA2">
        <w:rPr>
          <w:rFonts w:ascii="Arial" w:hAnsi="Arial" w:cs="Arial"/>
        </w:rPr>
        <w:t>mídia</w:t>
      </w:r>
      <w:r w:rsidRPr="007A0AA2">
        <w:rPr>
          <w:rFonts w:ascii="Arial" w:hAnsi="Arial" w:cs="Arial"/>
          <w:spacing w:val="-2"/>
        </w:rPr>
        <w:t xml:space="preserve"> </w:t>
      </w:r>
      <w:r w:rsidRPr="007A0AA2">
        <w:rPr>
          <w:rFonts w:ascii="Arial" w:hAnsi="Arial" w:cs="Arial"/>
        </w:rPr>
        <w:t>local, o</w:t>
      </w:r>
      <w:r w:rsidRPr="007A0AA2">
        <w:rPr>
          <w:rFonts w:ascii="Arial" w:hAnsi="Arial" w:cs="Arial"/>
          <w:spacing w:val="-2"/>
        </w:rPr>
        <w:t xml:space="preserve"> </w:t>
      </w:r>
      <w:r w:rsidRPr="007A0AA2">
        <w:rPr>
          <w:rFonts w:ascii="Arial" w:hAnsi="Arial" w:cs="Arial"/>
        </w:rPr>
        <w:t>Tribunal</w:t>
      </w:r>
      <w:r w:rsidRPr="007A0AA2">
        <w:rPr>
          <w:rFonts w:ascii="Arial" w:hAnsi="Arial" w:cs="Arial"/>
          <w:spacing w:val="-2"/>
        </w:rPr>
        <w:t xml:space="preserve"> </w:t>
      </w:r>
      <w:r w:rsidRPr="007A0AA2">
        <w:rPr>
          <w:rFonts w:ascii="Arial" w:hAnsi="Arial" w:cs="Arial"/>
        </w:rPr>
        <w:t>de</w:t>
      </w:r>
      <w:r w:rsidRPr="007A0AA2">
        <w:rPr>
          <w:rFonts w:ascii="Arial" w:hAnsi="Arial" w:cs="Arial"/>
          <w:spacing w:val="-2"/>
        </w:rPr>
        <w:t xml:space="preserve"> </w:t>
      </w:r>
      <w:r w:rsidRPr="007A0AA2">
        <w:rPr>
          <w:rFonts w:ascii="Arial" w:hAnsi="Arial" w:cs="Arial"/>
        </w:rPr>
        <w:t>Contas</w:t>
      </w:r>
      <w:r w:rsidRPr="007A0AA2">
        <w:rPr>
          <w:rFonts w:ascii="Arial" w:hAnsi="Arial" w:cs="Arial"/>
          <w:spacing w:val="-2"/>
        </w:rPr>
        <w:t xml:space="preserve"> </w:t>
      </w:r>
      <w:r w:rsidRPr="007A0AA2">
        <w:rPr>
          <w:rFonts w:ascii="Arial" w:hAnsi="Arial" w:cs="Arial"/>
        </w:rPr>
        <w:t>do</w:t>
      </w:r>
      <w:r w:rsidRPr="007A0AA2">
        <w:rPr>
          <w:rFonts w:ascii="Arial" w:hAnsi="Arial" w:cs="Arial"/>
          <w:spacing w:val="-2"/>
        </w:rPr>
        <w:t xml:space="preserve"> </w:t>
      </w:r>
      <w:r w:rsidRPr="007A0AA2">
        <w:rPr>
          <w:rFonts w:ascii="Arial" w:hAnsi="Arial" w:cs="Arial"/>
        </w:rPr>
        <w:t>Estado</w:t>
      </w:r>
      <w:r w:rsidRPr="007A0AA2">
        <w:rPr>
          <w:rFonts w:ascii="Arial" w:hAnsi="Arial" w:cs="Arial"/>
          <w:spacing w:val="-2"/>
        </w:rPr>
        <w:t xml:space="preserve"> </w:t>
      </w:r>
      <w:r w:rsidRPr="007A0AA2">
        <w:rPr>
          <w:rFonts w:ascii="Arial" w:hAnsi="Arial" w:cs="Arial"/>
        </w:rPr>
        <w:t>do</w:t>
      </w:r>
      <w:r w:rsidRPr="007A0AA2">
        <w:rPr>
          <w:rFonts w:ascii="Arial" w:hAnsi="Arial" w:cs="Arial"/>
          <w:spacing w:val="-2"/>
        </w:rPr>
        <w:t xml:space="preserve"> </w:t>
      </w:r>
      <w:r w:rsidRPr="007A0AA2">
        <w:rPr>
          <w:rFonts w:ascii="Arial" w:hAnsi="Arial" w:cs="Arial"/>
        </w:rPr>
        <w:t>Piauí torna pública a presente nota técnica sobre o procedimento de publicação dos atos administrativos e normativos municipais, em conformidade com a legislação que rege a matéria, no intuito de colaborar com os gestores municipais e evitar a prática de irregularidades na atividade administrativa.</w:t>
      </w:r>
    </w:p>
    <w:p w:rsidR="00BD45AF" w:rsidRPr="007A0AA2" w:rsidRDefault="00B96BD5">
      <w:pPr>
        <w:pStyle w:val="PargrafodaLista"/>
        <w:numPr>
          <w:ilvl w:val="0"/>
          <w:numId w:val="1"/>
        </w:numPr>
        <w:tabs>
          <w:tab w:val="left" w:pos="274"/>
        </w:tabs>
        <w:spacing w:before="122" w:line="360" w:lineRule="auto"/>
        <w:ind w:firstLine="0"/>
        <w:jc w:val="both"/>
        <w:rPr>
          <w:rFonts w:ascii="Arial" w:hAnsi="Arial" w:cs="Arial"/>
          <w:sz w:val="24"/>
          <w:szCs w:val="24"/>
        </w:rPr>
      </w:pPr>
      <w:r w:rsidRPr="007A0AA2">
        <w:rPr>
          <w:rFonts w:ascii="Arial" w:hAnsi="Arial" w:cs="Arial"/>
          <w:sz w:val="24"/>
          <w:szCs w:val="24"/>
        </w:rPr>
        <w:t xml:space="preserve">A Constituição do Estado do Piauí, em seu art. 28, dispõe que os </w:t>
      </w:r>
      <w:proofErr w:type="gramStart"/>
      <w:r w:rsidRPr="007A0AA2">
        <w:rPr>
          <w:rFonts w:ascii="Arial" w:hAnsi="Arial" w:cs="Arial"/>
          <w:sz w:val="24"/>
          <w:szCs w:val="24"/>
        </w:rPr>
        <w:t>Municípios</w:t>
      </w:r>
      <w:proofErr w:type="gramEnd"/>
      <w:r w:rsidRPr="007A0AA2">
        <w:rPr>
          <w:rFonts w:ascii="Arial" w:hAnsi="Arial" w:cs="Arial"/>
          <w:sz w:val="24"/>
          <w:szCs w:val="24"/>
        </w:rPr>
        <w:t xml:space="preserve"> </w:t>
      </w:r>
      <w:proofErr w:type="gramStart"/>
      <w:r w:rsidRPr="007A0AA2">
        <w:rPr>
          <w:rFonts w:ascii="Arial" w:hAnsi="Arial" w:cs="Arial"/>
          <w:sz w:val="24"/>
          <w:szCs w:val="24"/>
        </w:rPr>
        <w:t>publicarão</w:t>
      </w:r>
      <w:proofErr w:type="gramEnd"/>
      <w:r w:rsidRPr="007A0AA2">
        <w:rPr>
          <w:rFonts w:ascii="Arial" w:hAnsi="Arial" w:cs="Arial"/>
          <w:sz w:val="24"/>
          <w:szCs w:val="24"/>
        </w:rPr>
        <w:t>, em seu órgão de imprensa, dentro de dez dias, a partir da</w:t>
      </w:r>
      <w:r w:rsidRPr="007A0AA2">
        <w:rPr>
          <w:rFonts w:ascii="Arial" w:hAnsi="Arial" w:cs="Arial"/>
          <w:spacing w:val="80"/>
          <w:sz w:val="24"/>
          <w:szCs w:val="24"/>
        </w:rPr>
        <w:t xml:space="preserve"> </w:t>
      </w:r>
      <w:r w:rsidRPr="007A0AA2">
        <w:rPr>
          <w:rFonts w:ascii="Arial" w:hAnsi="Arial" w:cs="Arial"/>
          <w:sz w:val="24"/>
          <w:szCs w:val="24"/>
        </w:rPr>
        <w:t>ultimação do ato respectivo, as leis, os decretos regulamentares, os avisos de editais de concurso público e licitação e os extratos dos atos de nomeação, admissão, contratação, promoção, exoneração, demissão e aposentadoria de seu pessoal, sob pena de nulidade absoluta.</w:t>
      </w:r>
    </w:p>
    <w:p w:rsidR="00BD45AF" w:rsidRPr="007A0AA2" w:rsidRDefault="00B96BD5">
      <w:pPr>
        <w:pStyle w:val="PargrafodaLista"/>
        <w:numPr>
          <w:ilvl w:val="0"/>
          <w:numId w:val="1"/>
        </w:numPr>
        <w:tabs>
          <w:tab w:val="left" w:pos="302"/>
        </w:tabs>
        <w:spacing w:line="360" w:lineRule="auto"/>
        <w:ind w:firstLine="0"/>
        <w:jc w:val="both"/>
        <w:rPr>
          <w:rFonts w:ascii="Arial" w:hAnsi="Arial" w:cs="Arial"/>
          <w:sz w:val="24"/>
          <w:szCs w:val="24"/>
        </w:rPr>
      </w:pPr>
      <w:r w:rsidRPr="007A0AA2">
        <w:rPr>
          <w:rFonts w:ascii="Arial" w:hAnsi="Arial" w:cs="Arial"/>
          <w:sz w:val="24"/>
          <w:szCs w:val="24"/>
        </w:rPr>
        <w:t xml:space="preserve">No parágrafo único do referido dispositivo, esclarece-se que, no Município onde não houver órgão de imprensa oficial, a publicação dos atos será feita no Diário Oficial dos Municípios, órgão de publicação dos atos municipais, instituído e oficializado por legislação municipal específica dos referidos entes </w:t>
      </w:r>
      <w:r w:rsidRPr="007A0AA2">
        <w:rPr>
          <w:rFonts w:ascii="Arial" w:hAnsi="Arial" w:cs="Arial"/>
          <w:spacing w:val="-2"/>
          <w:sz w:val="24"/>
          <w:szCs w:val="24"/>
        </w:rPr>
        <w:t>federativos.</w:t>
      </w:r>
    </w:p>
    <w:p w:rsidR="00BD45AF" w:rsidRPr="007A0AA2" w:rsidRDefault="00B96BD5" w:rsidP="007A0AA2">
      <w:pPr>
        <w:pStyle w:val="PargrafodaLista"/>
        <w:numPr>
          <w:ilvl w:val="0"/>
          <w:numId w:val="1"/>
        </w:numPr>
        <w:tabs>
          <w:tab w:val="left" w:pos="334"/>
        </w:tabs>
        <w:spacing w:before="223" w:line="360" w:lineRule="auto"/>
        <w:ind w:right="143" w:firstLine="0"/>
        <w:jc w:val="both"/>
        <w:rPr>
          <w:rFonts w:ascii="Arial" w:hAnsi="Arial" w:cs="Arial"/>
          <w:sz w:val="24"/>
          <w:szCs w:val="24"/>
        </w:rPr>
      </w:pPr>
      <w:r w:rsidRPr="007A0AA2">
        <w:rPr>
          <w:rFonts w:ascii="Arial" w:hAnsi="Arial" w:cs="Arial"/>
          <w:sz w:val="24"/>
          <w:szCs w:val="24"/>
        </w:rPr>
        <w:t>O §1º do artigo 40 da Constituição Estadual estabelece, ainda, que os Avisos</w:t>
      </w:r>
      <w:r w:rsidRPr="007A0AA2">
        <w:rPr>
          <w:rFonts w:ascii="Arial" w:hAnsi="Arial" w:cs="Arial"/>
          <w:spacing w:val="21"/>
          <w:sz w:val="24"/>
          <w:szCs w:val="24"/>
        </w:rPr>
        <w:t xml:space="preserve"> </w:t>
      </w:r>
      <w:r w:rsidRPr="007A0AA2">
        <w:rPr>
          <w:rFonts w:ascii="Arial" w:hAnsi="Arial" w:cs="Arial"/>
          <w:sz w:val="24"/>
          <w:szCs w:val="24"/>
        </w:rPr>
        <w:t>de</w:t>
      </w:r>
      <w:r w:rsidRPr="007A0AA2">
        <w:rPr>
          <w:rFonts w:ascii="Arial" w:hAnsi="Arial" w:cs="Arial"/>
          <w:spacing w:val="21"/>
          <w:sz w:val="24"/>
          <w:szCs w:val="24"/>
        </w:rPr>
        <w:t xml:space="preserve"> </w:t>
      </w:r>
      <w:r w:rsidRPr="007A0AA2">
        <w:rPr>
          <w:rFonts w:ascii="Arial" w:hAnsi="Arial" w:cs="Arial"/>
          <w:sz w:val="24"/>
          <w:szCs w:val="24"/>
        </w:rPr>
        <w:t>Licitação,</w:t>
      </w:r>
      <w:r w:rsidRPr="007A0AA2">
        <w:rPr>
          <w:rFonts w:ascii="Arial" w:hAnsi="Arial" w:cs="Arial"/>
          <w:spacing w:val="21"/>
          <w:sz w:val="24"/>
          <w:szCs w:val="24"/>
        </w:rPr>
        <w:t xml:space="preserve"> </w:t>
      </w:r>
      <w:r w:rsidRPr="007A0AA2">
        <w:rPr>
          <w:rFonts w:ascii="Arial" w:hAnsi="Arial" w:cs="Arial"/>
          <w:sz w:val="24"/>
          <w:szCs w:val="24"/>
        </w:rPr>
        <w:t>os</w:t>
      </w:r>
      <w:r w:rsidRPr="007A0AA2">
        <w:rPr>
          <w:rFonts w:ascii="Arial" w:hAnsi="Arial" w:cs="Arial"/>
          <w:spacing w:val="21"/>
          <w:sz w:val="24"/>
          <w:szCs w:val="24"/>
        </w:rPr>
        <w:t xml:space="preserve"> </w:t>
      </w:r>
      <w:r w:rsidRPr="007A0AA2">
        <w:rPr>
          <w:rFonts w:ascii="Arial" w:hAnsi="Arial" w:cs="Arial"/>
          <w:sz w:val="24"/>
          <w:szCs w:val="24"/>
        </w:rPr>
        <w:t>Relatórios</w:t>
      </w:r>
      <w:r w:rsidRPr="007A0AA2">
        <w:rPr>
          <w:rFonts w:ascii="Arial" w:hAnsi="Arial" w:cs="Arial"/>
          <w:spacing w:val="21"/>
          <w:sz w:val="24"/>
          <w:szCs w:val="24"/>
        </w:rPr>
        <w:t xml:space="preserve"> </w:t>
      </w:r>
      <w:r w:rsidRPr="007A0AA2">
        <w:rPr>
          <w:rFonts w:ascii="Arial" w:hAnsi="Arial" w:cs="Arial"/>
          <w:sz w:val="24"/>
          <w:szCs w:val="24"/>
        </w:rPr>
        <w:t>de Gestão</w:t>
      </w:r>
      <w:r w:rsidRPr="007A0AA2">
        <w:rPr>
          <w:rFonts w:ascii="Arial" w:hAnsi="Arial" w:cs="Arial"/>
          <w:spacing w:val="21"/>
          <w:sz w:val="24"/>
          <w:szCs w:val="24"/>
        </w:rPr>
        <w:t xml:space="preserve"> </w:t>
      </w:r>
      <w:r w:rsidRPr="007A0AA2">
        <w:rPr>
          <w:rFonts w:ascii="Arial" w:hAnsi="Arial" w:cs="Arial"/>
          <w:sz w:val="24"/>
          <w:szCs w:val="24"/>
        </w:rPr>
        <w:t>Fiscal,</w:t>
      </w:r>
      <w:r w:rsidRPr="007A0AA2">
        <w:rPr>
          <w:rFonts w:ascii="Arial" w:hAnsi="Arial" w:cs="Arial"/>
          <w:spacing w:val="21"/>
          <w:sz w:val="24"/>
          <w:szCs w:val="24"/>
        </w:rPr>
        <w:t xml:space="preserve"> </w:t>
      </w:r>
      <w:r w:rsidRPr="007A0AA2">
        <w:rPr>
          <w:rFonts w:ascii="Arial" w:hAnsi="Arial" w:cs="Arial"/>
          <w:sz w:val="24"/>
          <w:szCs w:val="24"/>
        </w:rPr>
        <w:t>os</w:t>
      </w:r>
      <w:r w:rsidRPr="007A0AA2">
        <w:rPr>
          <w:rFonts w:ascii="Arial" w:hAnsi="Arial" w:cs="Arial"/>
          <w:spacing w:val="21"/>
          <w:sz w:val="24"/>
          <w:szCs w:val="24"/>
        </w:rPr>
        <w:t xml:space="preserve"> </w:t>
      </w:r>
      <w:r w:rsidRPr="007A0AA2">
        <w:rPr>
          <w:rFonts w:ascii="Arial" w:hAnsi="Arial" w:cs="Arial"/>
          <w:sz w:val="24"/>
          <w:szCs w:val="24"/>
        </w:rPr>
        <w:t>Relatórios</w:t>
      </w:r>
      <w:r w:rsidRPr="007A0AA2">
        <w:rPr>
          <w:rFonts w:ascii="Arial" w:hAnsi="Arial" w:cs="Arial"/>
          <w:spacing w:val="21"/>
          <w:sz w:val="24"/>
          <w:szCs w:val="24"/>
        </w:rPr>
        <w:t xml:space="preserve"> </w:t>
      </w:r>
      <w:r w:rsidRPr="007A0AA2">
        <w:rPr>
          <w:rFonts w:ascii="Arial" w:hAnsi="Arial" w:cs="Arial"/>
          <w:sz w:val="24"/>
          <w:szCs w:val="24"/>
        </w:rPr>
        <w:t>Resumidos</w:t>
      </w:r>
      <w:r w:rsidR="007A0AA2" w:rsidRPr="007A0AA2">
        <w:rPr>
          <w:rFonts w:ascii="Arial" w:hAnsi="Arial" w:cs="Arial"/>
          <w:sz w:val="24"/>
          <w:szCs w:val="24"/>
        </w:rPr>
        <w:t xml:space="preserve"> </w:t>
      </w:r>
      <w:r w:rsidRPr="007A0AA2">
        <w:rPr>
          <w:rFonts w:ascii="Arial" w:hAnsi="Arial" w:cs="Arial"/>
          <w:sz w:val="24"/>
          <w:szCs w:val="24"/>
        </w:rPr>
        <w:t xml:space="preserve">de Execução Orçamentária, a Lei Orçamentária Anual, a Lei de Diretrizes Orçamentárias, o Plano Plurianual e demais documentos de publicação obrigatória previstos na Lei nº 8.666, de 21 de junho de 1993, e na Lei nº 101, de 04 de maio de 2000, de responsabilidade da administração pública estadual e municipal, acompanhados de seus respectivos anexos, serão publicados na </w:t>
      </w:r>
      <w:r w:rsidRPr="007A0AA2">
        <w:rPr>
          <w:rFonts w:ascii="Arial" w:hAnsi="Arial" w:cs="Arial"/>
          <w:sz w:val="24"/>
          <w:szCs w:val="24"/>
        </w:rPr>
        <w:lastRenderedPageBreak/>
        <w:t>imprensa escrita em Diário Oficial do Estado ou do próprio Município, na forma prevista no art. 28 da Constituição estadual.</w:t>
      </w:r>
    </w:p>
    <w:p w:rsidR="00BD45AF" w:rsidRPr="007A0AA2" w:rsidRDefault="00B96BD5">
      <w:pPr>
        <w:pStyle w:val="PargrafodaLista"/>
        <w:numPr>
          <w:ilvl w:val="0"/>
          <w:numId w:val="1"/>
        </w:numPr>
        <w:tabs>
          <w:tab w:val="left" w:pos="275"/>
        </w:tabs>
        <w:spacing w:before="122" w:line="360" w:lineRule="auto"/>
        <w:ind w:right="136" w:firstLine="0"/>
        <w:jc w:val="both"/>
        <w:rPr>
          <w:rFonts w:ascii="Arial" w:hAnsi="Arial" w:cs="Arial"/>
          <w:sz w:val="24"/>
          <w:szCs w:val="24"/>
        </w:rPr>
      </w:pPr>
      <w:r w:rsidRPr="007A0AA2">
        <w:rPr>
          <w:rFonts w:ascii="Arial" w:hAnsi="Arial" w:cs="Arial"/>
          <w:sz w:val="24"/>
          <w:szCs w:val="24"/>
        </w:rPr>
        <w:t>O Tribunal de Contas do Estado do Piauí, regulamentando os mandamentos constitucionais, editou a Instrução Normativa TCE nº 03, de 30 de abril de</w:t>
      </w:r>
      <w:r w:rsidRPr="007A0AA2">
        <w:rPr>
          <w:rFonts w:ascii="Arial" w:hAnsi="Arial" w:cs="Arial"/>
          <w:spacing w:val="40"/>
          <w:sz w:val="24"/>
          <w:szCs w:val="24"/>
        </w:rPr>
        <w:t xml:space="preserve"> </w:t>
      </w:r>
      <w:r w:rsidRPr="007A0AA2">
        <w:rPr>
          <w:rFonts w:ascii="Arial" w:hAnsi="Arial" w:cs="Arial"/>
          <w:sz w:val="24"/>
          <w:szCs w:val="24"/>
        </w:rPr>
        <w:t xml:space="preserve">2015, que dispõe sobre a publicidade, transparência e publicações de atos na imprensa oficial dos entes sujeitos à sua jurisdição estabelecendo que o ente necessariamente </w:t>
      </w:r>
      <w:proofErr w:type="gramStart"/>
      <w:r w:rsidRPr="007A0AA2">
        <w:rPr>
          <w:rFonts w:ascii="Arial" w:hAnsi="Arial" w:cs="Arial"/>
          <w:sz w:val="24"/>
          <w:szCs w:val="24"/>
        </w:rPr>
        <w:t>deverá</w:t>
      </w:r>
      <w:proofErr w:type="gramEnd"/>
      <w:r w:rsidRPr="007A0AA2">
        <w:rPr>
          <w:rFonts w:ascii="Arial" w:hAnsi="Arial" w:cs="Arial"/>
          <w:sz w:val="24"/>
          <w:szCs w:val="24"/>
        </w:rPr>
        <w:t xml:space="preserve"> publicar seus atos na forma impressa nos casos em que a lei expressamente assim exija, em especial quanto aos avisos de licitação, Relatórios de Gestão Fiscal, Relatórios Resumidos de Execução Orçamentária, Lei Orçamentária Anual, Lei de Diretrizes Orçamentárias, Plano Plurianual e demais documentos de publicação obrigatória previstos na Lei nº 8.666/1993 e Lei Complementar no 101/2000, que deverão ser publicados na imprensa escrita em Diário Oficial do Estado ou do próprio Município.</w:t>
      </w:r>
    </w:p>
    <w:p w:rsidR="00BD45AF" w:rsidRPr="007A0AA2" w:rsidRDefault="00B96BD5">
      <w:pPr>
        <w:pStyle w:val="PargrafodaLista"/>
        <w:numPr>
          <w:ilvl w:val="0"/>
          <w:numId w:val="1"/>
        </w:numPr>
        <w:tabs>
          <w:tab w:val="left" w:pos="309"/>
        </w:tabs>
        <w:spacing w:before="119" w:line="360" w:lineRule="auto"/>
        <w:ind w:right="140" w:firstLine="0"/>
        <w:jc w:val="both"/>
        <w:rPr>
          <w:rFonts w:ascii="Arial" w:hAnsi="Arial" w:cs="Arial"/>
          <w:sz w:val="24"/>
          <w:szCs w:val="24"/>
        </w:rPr>
      </w:pPr>
      <w:r w:rsidRPr="007A0AA2">
        <w:rPr>
          <w:rFonts w:ascii="Arial" w:hAnsi="Arial" w:cs="Arial"/>
          <w:sz w:val="24"/>
          <w:szCs w:val="24"/>
        </w:rPr>
        <w:t>Neste contexto, a Associação Piauiense dos Municípios (APPM) formulou consulta (TC/008634/2017) a este Tribunal de Contas a fim que de que fosse definida a possibilidade da referida associação disponibilizar versão eletrônica do Diário Oficial dos Municípios do Piauí e prover a gestão de um sistema de informática para publicação de atos administrativos e normativos.</w:t>
      </w:r>
    </w:p>
    <w:p w:rsidR="00BD45AF" w:rsidRPr="007A0AA2" w:rsidRDefault="00B96BD5" w:rsidP="007A0AA2">
      <w:pPr>
        <w:pStyle w:val="PargrafodaLista"/>
        <w:numPr>
          <w:ilvl w:val="0"/>
          <w:numId w:val="1"/>
        </w:numPr>
        <w:tabs>
          <w:tab w:val="left" w:pos="307"/>
        </w:tabs>
        <w:spacing w:before="223" w:line="360" w:lineRule="auto"/>
        <w:ind w:right="141" w:firstLine="0"/>
        <w:jc w:val="both"/>
        <w:rPr>
          <w:rFonts w:ascii="Arial" w:hAnsi="Arial" w:cs="Arial"/>
          <w:sz w:val="24"/>
          <w:szCs w:val="24"/>
        </w:rPr>
      </w:pPr>
      <w:r w:rsidRPr="007A0AA2">
        <w:rPr>
          <w:rFonts w:ascii="Arial" w:hAnsi="Arial" w:cs="Arial"/>
          <w:sz w:val="24"/>
          <w:szCs w:val="24"/>
        </w:rPr>
        <w:t>Em sessão plenária do dia 06 de julho de 2017, decidiu o Plenário deste Tribunal, à unanimidade, conhecer da presente Consulta, esclarecendo que “não há óbice legal à criação de ferramenta disponibilizada pela APPM para que os municípios publiquem atos administrativos e normativos na rede</w:t>
      </w:r>
      <w:r w:rsidRPr="007A0AA2">
        <w:rPr>
          <w:rFonts w:ascii="Arial" w:hAnsi="Arial" w:cs="Arial"/>
          <w:spacing w:val="40"/>
          <w:sz w:val="24"/>
          <w:szCs w:val="24"/>
        </w:rPr>
        <w:t xml:space="preserve"> </w:t>
      </w:r>
      <w:r w:rsidRPr="007A0AA2">
        <w:rPr>
          <w:rFonts w:ascii="Arial" w:hAnsi="Arial" w:cs="Arial"/>
          <w:sz w:val="24"/>
          <w:szCs w:val="24"/>
        </w:rPr>
        <w:t>mundial</w:t>
      </w:r>
      <w:r w:rsidRPr="007A0AA2">
        <w:rPr>
          <w:rFonts w:ascii="Arial" w:hAnsi="Arial" w:cs="Arial"/>
          <w:spacing w:val="80"/>
          <w:w w:val="150"/>
          <w:sz w:val="24"/>
          <w:szCs w:val="24"/>
        </w:rPr>
        <w:t xml:space="preserve"> </w:t>
      </w:r>
      <w:r w:rsidRPr="007A0AA2">
        <w:rPr>
          <w:rFonts w:ascii="Arial" w:hAnsi="Arial" w:cs="Arial"/>
          <w:sz w:val="24"/>
          <w:szCs w:val="24"/>
        </w:rPr>
        <w:t>de</w:t>
      </w:r>
      <w:r w:rsidRPr="007A0AA2">
        <w:rPr>
          <w:rFonts w:ascii="Arial" w:hAnsi="Arial" w:cs="Arial"/>
          <w:spacing w:val="80"/>
          <w:w w:val="150"/>
          <w:sz w:val="24"/>
          <w:szCs w:val="24"/>
        </w:rPr>
        <w:t xml:space="preserve"> </w:t>
      </w:r>
      <w:r w:rsidRPr="007A0AA2">
        <w:rPr>
          <w:rFonts w:ascii="Arial" w:hAnsi="Arial" w:cs="Arial"/>
          <w:sz w:val="24"/>
          <w:szCs w:val="24"/>
        </w:rPr>
        <w:t>computadores,</w:t>
      </w:r>
      <w:r w:rsidRPr="007A0AA2">
        <w:rPr>
          <w:rFonts w:ascii="Arial" w:hAnsi="Arial" w:cs="Arial"/>
          <w:spacing w:val="80"/>
          <w:w w:val="150"/>
          <w:sz w:val="24"/>
          <w:szCs w:val="24"/>
        </w:rPr>
        <w:t xml:space="preserve"> </w:t>
      </w:r>
      <w:r w:rsidRPr="007A0AA2">
        <w:rPr>
          <w:rFonts w:ascii="Arial" w:hAnsi="Arial" w:cs="Arial"/>
          <w:sz w:val="24"/>
          <w:szCs w:val="24"/>
        </w:rPr>
        <w:t>desde</w:t>
      </w:r>
      <w:r w:rsidRPr="007A0AA2">
        <w:rPr>
          <w:rFonts w:ascii="Arial" w:hAnsi="Arial" w:cs="Arial"/>
          <w:spacing w:val="80"/>
          <w:w w:val="150"/>
          <w:sz w:val="24"/>
          <w:szCs w:val="24"/>
        </w:rPr>
        <w:t xml:space="preserve"> </w:t>
      </w:r>
      <w:r w:rsidRPr="007A0AA2">
        <w:rPr>
          <w:rFonts w:ascii="Arial" w:hAnsi="Arial" w:cs="Arial"/>
          <w:sz w:val="24"/>
          <w:szCs w:val="24"/>
        </w:rPr>
        <w:t>que</w:t>
      </w:r>
      <w:r w:rsidRPr="007A0AA2">
        <w:rPr>
          <w:rFonts w:ascii="Arial" w:hAnsi="Arial" w:cs="Arial"/>
          <w:spacing w:val="80"/>
          <w:w w:val="150"/>
          <w:sz w:val="24"/>
          <w:szCs w:val="24"/>
        </w:rPr>
        <w:t xml:space="preserve"> </w:t>
      </w:r>
      <w:r w:rsidRPr="007A0AA2">
        <w:rPr>
          <w:rFonts w:ascii="Arial" w:hAnsi="Arial" w:cs="Arial"/>
          <w:sz w:val="24"/>
          <w:szCs w:val="24"/>
        </w:rPr>
        <w:t>garanta,</w:t>
      </w:r>
      <w:r w:rsidRPr="007A0AA2">
        <w:rPr>
          <w:rFonts w:ascii="Arial" w:hAnsi="Arial" w:cs="Arial"/>
          <w:spacing w:val="80"/>
          <w:w w:val="150"/>
          <w:sz w:val="24"/>
          <w:szCs w:val="24"/>
        </w:rPr>
        <w:t xml:space="preserve"> </w:t>
      </w:r>
      <w:r w:rsidRPr="007A0AA2">
        <w:rPr>
          <w:rFonts w:ascii="Arial" w:hAnsi="Arial" w:cs="Arial"/>
          <w:sz w:val="24"/>
          <w:szCs w:val="24"/>
        </w:rPr>
        <w:t>com</w:t>
      </w:r>
      <w:r w:rsidRPr="007A0AA2">
        <w:rPr>
          <w:rFonts w:ascii="Arial" w:hAnsi="Arial" w:cs="Arial"/>
          <w:spacing w:val="80"/>
          <w:w w:val="150"/>
          <w:sz w:val="24"/>
          <w:szCs w:val="24"/>
        </w:rPr>
        <w:t xml:space="preserve"> </w:t>
      </w:r>
      <w:r w:rsidRPr="007A0AA2">
        <w:rPr>
          <w:rFonts w:ascii="Arial" w:hAnsi="Arial" w:cs="Arial"/>
          <w:sz w:val="24"/>
          <w:szCs w:val="24"/>
        </w:rPr>
        <w:t>exceção</w:t>
      </w:r>
      <w:r w:rsidRPr="007A0AA2">
        <w:rPr>
          <w:rFonts w:ascii="Arial" w:hAnsi="Arial" w:cs="Arial"/>
          <w:spacing w:val="80"/>
          <w:w w:val="150"/>
          <w:sz w:val="24"/>
          <w:szCs w:val="24"/>
        </w:rPr>
        <w:t xml:space="preserve"> </w:t>
      </w:r>
      <w:r w:rsidRPr="007A0AA2">
        <w:rPr>
          <w:rFonts w:ascii="Arial" w:hAnsi="Arial" w:cs="Arial"/>
          <w:sz w:val="24"/>
          <w:szCs w:val="24"/>
        </w:rPr>
        <w:t>daqueles</w:t>
      </w:r>
      <w:r w:rsidR="007A0AA2">
        <w:rPr>
          <w:rFonts w:ascii="Arial" w:hAnsi="Arial" w:cs="Arial"/>
          <w:sz w:val="24"/>
          <w:szCs w:val="24"/>
        </w:rPr>
        <w:t xml:space="preserve"> </w:t>
      </w:r>
      <w:r w:rsidRPr="007A0AA2">
        <w:rPr>
          <w:rFonts w:ascii="Arial" w:hAnsi="Arial" w:cs="Arial"/>
          <w:sz w:val="24"/>
          <w:szCs w:val="24"/>
        </w:rPr>
        <w:t xml:space="preserve">elencados nos incisos do art. 28 e no § 1º do art. 40, todos da Constituição do Estado do Piauí, bem como na legislação esparsa (Lei nº 8.666/1993 e Lei Complementar no 101/2000), que deverão, obrigatoriamente, ser publicados também na imprensa escrita em Diário Oficial do Estado ou do próprio Município e, não havendo órgão de imprensa oficial, no Diário Oficial dos Municípios, </w:t>
      </w:r>
      <w:proofErr w:type="gramStart"/>
      <w:r w:rsidRPr="007A0AA2">
        <w:rPr>
          <w:rFonts w:ascii="Arial" w:hAnsi="Arial" w:cs="Arial"/>
          <w:sz w:val="24"/>
          <w:szCs w:val="24"/>
        </w:rPr>
        <w:t>sob pena</w:t>
      </w:r>
      <w:proofErr w:type="gramEnd"/>
      <w:r w:rsidRPr="007A0AA2">
        <w:rPr>
          <w:rFonts w:ascii="Arial" w:hAnsi="Arial" w:cs="Arial"/>
          <w:sz w:val="24"/>
          <w:szCs w:val="24"/>
        </w:rPr>
        <w:t xml:space="preserve"> de nulidade absoluta, observando ainda que, caso o Município decida por publicar em órgão público municipal ou contratar associação ou empresa com personalidade jurídica de direito privado deverá </w:t>
      </w:r>
      <w:r w:rsidRPr="007A0AA2">
        <w:rPr>
          <w:rFonts w:ascii="Arial" w:hAnsi="Arial" w:cs="Arial"/>
          <w:sz w:val="24"/>
          <w:szCs w:val="24"/>
        </w:rPr>
        <w:lastRenderedPageBreak/>
        <w:t>aguardar</w:t>
      </w:r>
      <w:r w:rsidRPr="007A0AA2">
        <w:rPr>
          <w:rFonts w:ascii="Arial" w:hAnsi="Arial" w:cs="Arial"/>
          <w:spacing w:val="-1"/>
          <w:sz w:val="24"/>
          <w:szCs w:val="24"/>
        </w:rPr>
        <w:t xml:space="preserve"> </w:t>
      </w:r>
      <w:r w:rsidRPr="007A0AA2">
        <w:rPr>
          <w:rFonts w:ascii="Arial" w:hAnsi="Arial" w:cs="Arial"/>
          <w:sz w:val="24"/>
          <w:szCs w:val="24"/>
        </w:rPr>
        <w:t>a regulamentação do Tribunal de Contas do Estado do Piauí</w:t>
      </w:r>
      <w:r w:rsidRPr="007A0AA2">
        <w:rPr>
          <w:rFonts w:ascii="Arial" w:hAnsi="Arial" w:cs="Arial"/>
          <w:spacing w:val="-2"/>
          <w:sz w:val="24"/>
          <w:szCs w:val="24"/>
        </w:rPr>
        <w:t xml:space="preserve"> </w:t>
      </w:r>
      <w:r w:rsidRPr="007A0AA2">
        <w:rPr>
          <w:rFonts w:ascii="Arial" w:hAnsi="Arial" w:cs="Arial"/>
          <w:sz w:val="24"/>
          <w:szCs w:val="24"/>
        </w:rPr>
        <w:t>sobre os requisitos de segurança e autenticidade da publicação oficial”.</w:t>
      </w:r>
    </w:p>
    <w:p w:rsidR="00BD45AF" w:rsidRPr="007A0AA2" w:rsidRDefault="00B96BD5">
      <w:pPr>
        <w:pStyle w:val="PargrafodaLista"/>
        <w:numPr>
          <w:ilvl w:val="0"/>
          <w:numId w:val="1"/>
        </w:numPr>
        <w:tabs>
          <w:tab w:val="left" w:pos="350"/>
        </w:tabs>
        <w:spacing w:before="121" w:line="360" w:lineRule="auto"/>
        <w:ind w:right="136" w:firstLine="0"/>
        <w:jc w:val="both"/>
        <w:rPr>
          <w:rFonts w:ascii="Arial" w:hAnsi="Arial" w:cs="Arial"/>
          <w:sz w:val="24"/>
          <w:szCs w:val="24"/>
        </w:rPr>
      </w:pPr>
      <w:r w:rsidRPr="007A0AA2">
        <w:rPr>
          <w:rFonts w:ascii="Arial" w:hAnsi="Arial" w:cs="Arial"/>
          <w:sz w:val="24"/>
          <w:szCs w:val="24"/>
        </w:rPr>
        <w:t>Desta feita, tem-se que é salutar a disponibilização de todos os atos administrativos na rede mundial de computadores, em atenção, especialmente, aos princípios da transparência e da publicidade, que devem reger toda a Administração Pública. Entretanto, deve-se observar que, até o presente momento, não houve regulamentação do Tribunal de Contas do Estado do Piauí sobre os requisitos de segurança e autenticidade da publicação oficial, requisito definido na Consulta formulada.</w:t>
      </w:r>
    </w:p>
    <w:p w:rsidR="00BD45AF" w:rsidRPr="007A0AA2" w:rsidRDefault="00B96BD5" w:rsidP="007A0AA2">
      <w:pPr>
        <w:pStyle w:val="PargrafodaLista"/>
        <w:numPr>
          <w:ilvl w:val="0"/>
          <w:numId w:val="1"/>
        </w:numPr>
        <w:tabs>
          <w:tab w:val="left" w:pos="333"/>
        </w:tabs>
        <w:spacing w:before="223" w:line="360" w:lineRule="auto"/>
        <w:ind w:firstLine="0"/>
        <w:jc w:val="both"/>
        <w:rPr>
          <w:rFonts w:ascii="Arial" w:hAnsi="Arial" w:cs="Arial"/>
          <w:sz w:val="24"/>
          <w:szCs w:val="24"/>
        </w:rPr>
      </w:pPr>
      <w:r w:rsidRPr="007A0AA2">
        <w:rPr>
          <w:rFonts w:ascii="Arial" w:hAnsi="Arial" w:cs="Arial"/>
          <w:sz w:val="24"/>
          <w:szCs w:val="24"/>
        </w:rPr>
        <w:t xml:space="preserve">Ademais, devem os gestores atentar-se que, por força de mandamento constitucional, os atos elencados nos incisos do art. 28 da Constituição do Estado do Piauí (leis, decretos regulamentares, avisos de editais de concurso público e licitação e extratos dos atos de nomeação, admissão, contratação, promoção, exoneração, demissão e aposentadoria de seu pessoal), no §1º do art. 40 da Constituição do Estado do Piauí (Avisos de Licitação, Relatórios de Gestão Fiscal, Relatórios Resumidos de Execução Orçamentária, Lei Orçamentária Anual, Lei de Diretrizes Orçamentárias e Plano Plurianual), bem como na legislação esparsa (Lei nº 8.666/1993 e Lei Complementar nº 101/2000), </w:t>
      </w:r>
      <w:r w:rsidRPr="007A0AA2">
        <w:rPr>
          <w:rFonts w:ascii="Arial" w:hAnsi="Arial" w:cs="Arial"/>
          <w:b/>
          <w:sz w:val="24"/>
          <w:szCs w:val="24"/>
        </w:rPr>
        <w:t>deverão, obrigatoriamente, ser publicados também na</w:t>
      </w:r>
      <w:r w:rsidRPr="007A0AA2">
        <w:rPr>
          <w:rFonts w:ascii="Arial" w:hAnsi="Arial" w:cs="Arial"/>
          <w:b/>
          <w:spacing w:val="40"/>
          <w:sz w:val="24"/>
          <w:szCs w:val="24"/>
        </w:rPr>
        <w:t xml:space="preserve"> </w:t>
      </w:r>
      <w:r w:rsidRPr="007A0AA2">
        <w:rPr>
          <w:rFonts w:ascii="Arial" w:hAnsi="Arial" w:cs="Arial"/>
          <w:b/>
          <w:sz w:val="24"/>
          <w:szCs w:val="24"/>
        </w:rPr>
        <w:t>imprensa</w:t>
      </w:r>
      <w:r w:rsidRPr="007A0AA2">
        <w:rPr>
          <w:rFonts w:ascii="Arial" w:hAnsi="Arial" w:cs="Arial"/>
          <w:b/>
          <w:spacing w:val="5"/>
          <w:sz w:val="24"/>
          <w:szCs w:val="24"/>
        </w:rPr>
        <w:t xml:space="preserve"> </w:t>
      </w:r>
      <w:r w:rsidRPr="007A0AA2">
        <w:rPr>
          <w:rFonts w:ascii="Arial" w:hAnsi="Arial" w:cs="Arial"/>
          <w:b/>
          <w:sz w:val="24"/>
          <w:szCs w:val="24"/>
        </w:rPr>
        <w:t>escrita</w:t>
      </w:r>
      <w:r w:rsidRPr="007A0AA2">
        <w:rPr>
          <w:rFonts w:ascii="Arial" w:hAnsi="Arial" w:cs="Arial"/>
          <w:b/>
          <w:spacing w:val="7"/>
          <w:sz w:val="24"/>
          <w:szCs w:val="24"/>
        </w:rPr>
        <w:t xml:space="preserve"> </w:t>
      </w:r>
      <w:r w:rsidRPr="007A0AA2">
        <w:rPr>
          <w:rFonts w:ascii="Arial" w:hAnsi="Arial" w:cs="Arial"/>
          <w:b/>
          <w:sz w:val="24"/>
          <w:szCs w:val="24"/>
        </w:rPr>
        <w:t>em</w:t>
      </w:r>
      <w:r w:rsidRPr="007A0AA2">
        <w:rPr>
          <w:rFonts w:ascii="Arial" w:hAnsi="Arial" w:cs="Arial"/>
          <w:b/>
          <w:spacing w:val="5"/>
          <w:sz w:val="24"/>
          <w:szCs w:val="24"/>
        </w:rPr>
        <w:t xml:space="preserve"> </w:t>
      </w:r>
      <w:r w:rsidRPr="007A0AA2">
        <w:rPr>
          <w:rFonts w:ascii="Arial" w:hAnsi="Arial" w:cs="Arial"/>
          <w:b/>
          <w:sz w:val="24"/>
          <w:szCs w:val="24"/>
        </w:rPr>
        <w:t>Diário</w:t>
      </w:r>
      <w:r w:rsidRPr="007A0AA2">
        <w:rPr>
          <w:rFonts w:ascii="Arial" w:hAnsi="Arial" w:cs="Arial"/>
          <w:b/>
          <w:spacing w:val="6"/>
          <w:sz w:val="24"/>
          <w:szCs w:val="24"/>
        </w:rPr>
        <w:t xml:space="preserve"> </w:t>
      </w:r>
      <w:r w:rsidRPr="007A0AA2">
        <w:rPr>
          <w:rFonts w:ascii="Arial" w:hAnsi="Arial" w:cs="Arial"/>
          <w:b/>
          <w:sz w:val="24"/>
          <w:szCs w:val="24"/>
        </w:rPr>
        <w:t>do</w:t>
      </w:r>
      <w:r w:rsidRPr="007A0AA2">
        <w:rPr>
          <w:rFonts w:ascii="Arial" w:hAnsi="Arial" w:cs="Arial"/>
          <w:b/>
          <w:spacing w:val="7"/>
          <w:sz w:val="24"/>
          <w:szCs w:val="24"/>
        </w:rPr>
        <w:t xml:space="preserve"> </w:t>
      </w:r>
      <w:r w:rsidRPr="007A0AA2">
        <w:rPr>
          <w:rFonts w:ascii="Arial" w:hAnsi="Arial" w:cs="Arial"/>
          <w:b/>
          <w:sz w:val="24"/>
          <w:szCs w:val="24"/>
        </w:rPr>
        <w:t>próprio</w:t>
      </w:r>
      <w:r w:rsidRPr="007A0AA2">
        <w:rPr>
          <w:rFonts w:ascii="Arial" w:hAnsi="Arial" w:cs="Arial"/>
          <w:b/>
          <w:spacing w:val="6"/>
          <w:sz w:val="24"/>
          <w:szCs w:val="24"/>
        </w:rPr>
        <w:t xml:space="preserve"> </w:t>
      </w:r>
      <w:r w:rsidRPr="007A0AA2">
        <w:rPr>
          <w:rFonts w:ascii="Arial" w:hAnsi="Arial" w:cs="Arial"/>
          <w:b/>
          <w:sz w:val="24"/>
          <w:szCs w:val="24"/>
        </w:rPr>
        <w:t>Município</w:t>
      </w:r>
      <w:r w:rsidRPr="007A0AA2">
        <w:rPr>
          <w:rFonts w:ascii="Arial" w:hAnsi="Arial" w:cs="Arial"/>
          <w:b/>
          <w:spacing w:val="7"/>
          <w:sz w:val="24"/>
          <w:szCs w:val="24"/>
        </w:rPr>
        <w:t xml:space="preserve"> </w:t>
      </w:r>
      <w:r w:rsidRPr="007A0AA2">
        <w:rPr>
          <w:rFonts w:ascii="Arial" w:hAnsi="Arial" w:cs="Arial"/>
          <w:b/>
          <w:sz w:val="24"/>
          <w:szCs w:val="24"/>
        </w:rPr>
        <w:t>e,</w:t>
      </w:r>
      <w:r w:rsidRPr="007A0AA2">
        <w:rPr>
          <w:rFonts w:ascii="Arial" w:hAnsi="Arial" w:cs="Arial"/>
          <w:b/>
          <w:spacing w:val="6"/>
          <w:sz w:val="24"/>
          <w:szCs w:val="24"/>
        </w:rPr>
        <w:t xml:space="preserve"> </w:t>
      </w:r>
      <w:r w:rsidRPr="007A0AA2">
        <w:rPr>
          <w:rFonts w:ascii="Arial" w:hAnsi="Arial" w:cs="Arial"/>
          <w:b/>
          <w:sz w:val="24"/>
          <w:szCs w:val="24"/>
        </w:rPr>
        <w:t>não</w:t>
      </w:r>
      <w:r w:rsidRPr="007A0AA2">
        <w:rPr>
          <w:rFonts w:ascii="Arial" w:hAnsi="Arial" w:cs="Arial"/>
          <w:b/>
          <w:spacing w:val="7"/>
          <w:sz w:val="24"/>
          <w:szCs w:val="24"/>
        </w:rPr>
        <w:t xml:space="preserve"> </w:t>
      </w:r>
      <w:r w:rsidRPr="007A0AA2">
        <w:rPr>
          <w:rFonts w:ascii="Arial" w:hAnsi="Arial" w:cs="Arial"/>
          <w:b/>
          <w:sz w:val="24"/>
          <w:szCs w:val="24"/>
        </w:rPr>
        <w:t>havendo</w:t>
      </w:r>
      <w:r w:rsidRPr="007A0AA2">
        <w:rPr>
          <w:rFonts w:ascii="Arial" w:hAnsi="Arial" w:cs="Arial"/>
          <w:b/>
          <w:spacing w:val="5"/>
          <w:sz w:val="24"/>
          <w:szCs w:val="24"/>
        </w:rPr>
        <w:t xml:space="preserve"> </w:t>
      </w:r>
      <w:r w:rsidRPr="007A0AA2">
        <w:rPr>
          <w:rFonts w:ascii="Arial" w:hAnsi="Arial" w:cs="Arial"/>
          <w:b/>
          <w:sz w:val="24"/>
          <w:szCs w:val="24"/>
        </w:rPr>
        <w:t>órgão</w:t>
      </w:r>
      <w:r w:rsidRPr="007A0AA2">
        <w:rPr>
          <w:rFonts w:ascii="Arial" w:hAnsi="Arial" w:cs="Arial"/>
          <w:b/>
          <w:spacing w:val="7"/>
          <w:sz w:val="24"/>
          <w:szCs w:val="24"/>
        </w:rPr>
        <w:t xml:space="preserve"> </w:t>
      </w:r>
      <w:r w:rsidRPr="007A0AA2">
        <w:rPr>
          <w:rFonts w:ascii="Arial" w:hAnsi="Arial" w:cs="Arial"/>
          <w:b/>
          <w:spacing w:val="-5"/>
          <w:sz w:val="24"/>
          <w:szCs w:val="24"/>
        </w:rPr>
        <w:t>de</w:t>
      </w:r>
      <w:r w:rsidR="007A0AA2">
        <w:rPr>
          <w:rFonts w:ascii="Arial" w:hAnsi="Arial" w:cs="Arial"/>
          <w:b/>
          <w:spacing w:val="-5"/>
          <w:sz w:val="24"/>
          <w:szCs w:val="24"/>
        </w:rPr>
        <w:t xml:space="preserve"> </w:t>
      </w:r>
      <w:r w:rsidRPr="007A0AA2">
        <w:rPr>
          <w:rFonts w:ascii="Arial" w:hAnsi="Arial" w:cs="Arial"/>
          <w:b/>
          <w:sz w:val="24"/>
          <w:szCs w:val="24"/>
        </w:rPr>
        <w:t xml:space="preserve">imprensa oficial, no Diário Oficial dos Municípios, </w:t>
      </w:r>
      <w:proofErr w:type="gramStart"/>
      <w:r w:rsidRPr="007A0AA2">
        <w:rPr>
          <w:rFonts w:ascii="Arial" w:hAnsi="Arial" w:cs="Arial"/>
          <w:b/>
          <w:sz w:val="24"/>
          <w:szCs w:val="24"/>
        </w:rPr>
        <w:t>sob pena</w:t>
      </w:r>
      <w:proofErr w:type="gramEnd"/>
      <w:r w:rsidRPr="007A0AA2">
        <w:rPr>
          <w:rFonts w:ascii="Arial" w:hAnsi="Arial" w:cs="Arial"/>
          <w:b/>
          <w:sz w:val="24"/>
          <w:szCs w:val="24"/>
        </w:rPr>
        <w:t xml:space="preserve"> de nulidade</w:t>
      </w:r>
      <w:r w:rsidRPr="007A0AA2">
        <w:rPr>
          <w:rFonts w:ascii="Arial" w:hAnsi="Arial" w:cs="Arial"/>
          <w:b/>
          <w:spacing w:val="80"/>
          <w:sz w:val="24"/>
          <w:szCs w:val="24"/>
        </w:rPr>
        <w:t xml:space="preserve"> </w:t>
      </w:r>
      <w:r w:rsidRPr="007A0AA2">
        <w:rPr>
          <w:rFonts w:ascii="Arial" w:hAnsi="Arial" w:cs="Arial"/>
          <w:b/>
          <w:spacing w:val="-2"/>
          <w:sz w:val="24"/>
          <w:szCs w:val="24"/>
        </w:rPr>
        <w:t>absoluta</w:t>
      </w:r>
      <w:r w:rsidRPr="007A0AA2">
        <w:rPr>
          <w:rFonts w:ascii="Arial" w:hAnsi="Arial" w:cs="Arial"/>
          <w:spacing w:val="-2"/>
          <w:sz w:val="24"/>
          <w:szCs w:val="24"/>
        </w:rPr>
        <w:t>.</w:t>
      </w:r>
    </w:p>
    <w:p w:rsidR="00BD45AF" w:rsidRPr="007A0AA2" w:rsidRDefault="00B96BD5">
      <w:pPr>
        <w:pStyle w:val="PargrafodaLista"/>
        <w:numPr>
          <w:ilvl w:val="0"/>
          <w:numId w:val="1"/>
        </w:numPr>
        <w:tabs>
          <w:tab w:val="left" w:pos="283"/>
        </w:tabs>
        <w:spacing w:line="360" w:lineRule="auto"/>
        <w:ind w:firstLine="0"/>
        <w:jc w:val="both"/>
        <w:rPr>
          <w:rFonts w:ascii="Arial" w:hAnsi="Arial" w:cs="Arial"/>
          <w:sz w:val="24"/>
          <w:szCs w:val="24"/>
        </w:rPr>
      </w:pPr>
      <w:r w:rsidRPr="007A0AA2">
        <w:rPr>
          <w:rFonts w:ascii="Arial" w:hAnsi="Arial" w:cs="Arial"/>
          <w:sz w:val="24"/>
          <w:szCs w:val="24"/>
        </w:rPr>
        <w:t>Pelo exposto, em que pese ser regular a publicação de atos administrativos</w:t>
      </w:r>
      <w:r w:rsidRPr="007A0AA2">
        <w:rPr>
          <w:rFonts w:ascii="Arial" w:hAnsi="Arial" w:cs="Arial"/>
          <w:spacing w:val="40"/>
          <w:sz w:val="24"/>
          <w:szCs w:val="24"/>
        </w:rPr>
        <w:t xml:space="preserve"> </w:t>
      </w:r>
      <w:r w:rsidRPr="007A0AA2">
        <w:rPr>
          <w:rFonts w:ascii="Arial" w:hAnsi="Arial" w:cs="Arial"/>
          <w:sz w:val="24"/>
          <w:szCs w:val="24"/>
        </w:rPr>
        <w:t>e normativos em diário eletrônico criado pela Associação Piauiense dos Municípios (APPM), não podem os municípios eximir-se da obrigação constitucional de publicar os atos elencados nos incisos do art. 28 e no §1º do art. 40 da Constituição do Estado do Piauí, bem como da Lei nº 8.666/1993 e Lei Complementar nº 101/2000 em diário próprio e, não havendo, no Diário Oficial dos Municípios.</w:t>
      </w:r>
    </w:p>
    <w:sectPr w:rsidR="00BD45AF" w:rsidRPr="007A0AA2">
      <w:headerReference w:type="default" r:id="rId8"/>
      <w:footerReference w:type="default" r:id="rId9"/>
      <w:pgSz w:w="11910" w:h="16840"/>
      <w:pgMar w:top="2440" w:right="1559" w:bottom="280" w:left="1700" w:header="97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03F" w:rsidRDefault="00B96BD5">
      <w:r>
        <w:separator/>
      </w:r>
    </w:p>
  </w:endnote>
  <w:endnote w:type="continuationSeparator" w:id="0">
    <w:p w:rsidR="00A2203F" w:rsidRDefault="00B9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AA2" w:rsidRDefault="007A0AA2">
    <w:pPr>
      <w:pStyle w:val="Rodap"/>
    </w:pPr>
  </w:p>
  <w:p w:rsidR="007A0AA2" w:rsidRDefault="007A0AA2">
    <w:pPr>
      <w:pStyle w:val="Rodap"/>
    </w:pPr>
  </w:p>
  <w:p w:rsidR="007A0AA2" w:rsidRDefault="007A0AA2">
    <w:pPr>
      <w:pStyle w:val="Rodap"/>
    </w:pPr>
  </w:p>
  <w:p w:rsidR="007A0AA2" w:rsidRDefault="007A0AA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03F" w:rsidRDefault="00B96BD5">
      <w:r>
        <w:separator/>
      </w:r>
    </w:p>
  </w:footnote>
  <w:footnote w:type="continuationSeparator" w:id="0">
    <w:p w:rsidR="00A2203F" w:rsidRDefault="00B96B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5AF" w:rsidRDefault="00B96BD5">
    <w:pPr>
      <w:pStyle w:val="Corpodetexto"/>
      <w:spacing w:line="14" w:lineRule="auto"/>
      <w:rPr>
        <w:sz w:val="20"/>
      </w:rPr>
    </w:pPr>
    <w:r>
      <w:rPr>
        <w:noProof/>
        <w:sz w:val="20"/>
        <w:lang w:val="pt-BR" w:eastAsia="pt-BR"/>
      </w:rPr>
      <w:drawing>
        <wp:anchor distT="0" distB="0" distL="0" distR="0" simplePos="0" relativeHeight="487550976" behindDoc="1" locked="0" layoutInCell="1" allowOverlap="1" wp14:anchorId="6A2EE949" wp14:editId="24B8804B">
          <wp:simplePos x="0" y="0"/>
          <wp:positionH relativeFrom="page">
            <wp:posOffset>1124585</wp:posOffset>
          </wp:positionH>
          <wp:positionV relativeFrom="page">
            <wp:posOffset>620267</wp:posOffset>
          </wp:positionV>
          <wp:extent cx="762000" cy="93332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62000" cy="933322"/>
                  </a:xfrm>
                  <a:prstGeom prst="rect">
                    <a:avLst/>
                  </a:prstGeom>
                </pic:spPr>
              </pic:pic>
            </a:graphicData>
          </a:graphic>
        </wp:anchor>
      </w:drawing>
    </w:r>
    <w:r>
      <w:rPr>
        <w:noProof/>
        <w:sz w:val="20"/>
        <w:lang w:val="pt-BR" w:eastAsia="pt-BR"/>
      </w:rPr>
      <w:drawing>
        <wp:anchor distT="0" distB="0" distL="0" distR="0" simplePos="0" relativeHeight="487551488" behindDoc="1" locked="0" layoutInCell="1" allowOverlap="1" wp14:anchorId="551E90DD" wp14:editId="10A86367">
          <wp:simplePos x="0" y="0"/>
          <wp:positionH relativeFrom="page">
            <wp:posOffset>5535295</wp:posOffset>
          </wp:positionH>
          <wp:positionV relativeFrom="page">
            <wp:posOffset>629665</wp:posOffset>
          </wp:positionV>
          <wp:extent cx="952500" cy="9048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952500" cy="904875"/>
                  </a:xfrm>
                  <a:prstGeom prst="rect">
                    <a:avLst/>
                  </a:prstGeom>
                </pic:spPr>
              </pic:pic>
            </a:graphicData>
          </a:graphic>
        </wp:anchor>
      </w:drawing>
    </w:r>
    <w:r>
      <w:rPr>
        <w:noProof/>
        <w:sz w:val="20"/>
        <w:lang w:val="pt-BR" w:eastAsia="pt-BR"/>
      </w:rPr>
      <mc:AlternateContent>
        <mc:Choice Requires="wps">
          <w:drawing>
            <wp:anchor distT="0" distB="0" distL="0" distR="0" simplePos="0" relativeHeight="487552000" behindDoc="1" locked="0" layoutInCell="1" allowOverlap="1" wp14:anchorId="26FA1639" wp14:editId="63335E33">
              <wp:simplePos x="0" y="0"/>
              <wp:positionH relativeFrom="page">
                <wp:posOffset>2057526</wp:posOffset>
              </wp:positionH>
              <wp:positionV relativeFrom="page">
                <wp:posOffset>876704</wp:posOffset>
              </wp:positionV>
              <wp:extent cx="1864360" cy="5969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4360" cy="596900"/>
                      </a:xfrm>
                      <a:prstGeom prst="rect">
                        <a:avLst/>
                      </a:prstGeom>
                    </wps:spPr>
                    <wps:txbx>
                      <w:txbxContent>
                        <w:p w:rsidR="00BD45AF" w:rsidRDefault="00B96BD5">
                          <w:pPr>
                            <w:spacing w:before="9"/>
                            <w:ind w:left="20"/>
                            <w:rPr>
                              <w:rFonts w:ascii="Arial" w:hAnsi="Arial"/>
                              <w:b/>
                              <w:sz w:val="32"/>
                            </w:rPr>
                          </w:pPr>
                          <w:r>
                            <w:rPr>
                              <w:rFonts w:ascii="Arial" w:hAnsi="Arial"/>
                              <w:b/>
                              <w:sz w:val="32"/>
                            </w:rPr>
                            <w:t>Estado</w:t>
                          </w:r>
                          <w:r>
                            <w:rPr>
                              <w:rFonts w:ascii="Arial" w:hAnsi="Arial"/>
                              <w:b/>
                              <w:spacing w:val="-8"/>
                              <w:sz w:val="32"/>
                            </w:rPr>
                            <w:t xml:space="preserve"> </w:t>
                          </w:r>
                          <w:r>
                            <w:rPr>
                              <w:rFonts w:ascii="Arial" w:hAnsi="Arial"/>
                              <w:b/>
                              <w:sz w:val="32"/>
                            </w:rPr>
                            <w:t>do</w:t>
                          </w:r>
                          <w:r>
                            <w:rPr>
                              <w:rFonts w:ascii="Arial" w:hAnsi="Arial"/>
                              <w:b/>
                              <w:spacing w:val="-8"/>
                              <w:sz w:val="32"/>
                            </w:rPr>
                            <w:t xml:space="preserve"> </w:t>
                          </w:r>
                          <w:r>
                            <w:rPr>
                              <w:rFonts w:ascii="Arial" w:hAnsi="Arial"/>
                              <w:b/>
                              <w:spacing w:val="-2"/>
                              <w:sz w:val="32"/>
                            </w:rPr>
                            <w:t>Piauí</w:t>
                          </w:r>
                        </w:p>
                        <w:p w:rsidR="00BD45AF" w:rsidRDefault="00B96BD5">
                          <w:pPr>
                            <w:spacing w:before="174"/>
                            <w:ind w:left="20"/>
                            <w:rPr>
                              <w:rFonts w:ascii="Arial"/>
                              <w:b/>
                              <w:sz w:val="32"/>
                            </w:rPr>
                          </w:pPr>
                          <w:r>
                            <w:rPr>
                              <w:rFonts w:ascii="Arial"/>
                              <w:b/>
                              <w:sz w:val="32"/>
                            </w:rPr>
                            <w:t>Tribunal</w:t>
                          </w:r>
                          <w:r>
                            <w:rPr>
                              <w:rFonts w:ascii="Arial"/>
                              <w:b/>
                              <w:spacing w:val="-10"/>
                              <w:sz w:val="32"/>
                            </w:rPr>
                            <w:t xml:space="preserve"> </w:t>
                          </w:r>
                          <w:r>
                            <w:rPr>
                              <w:rFonts w:ascii="Arial"/>
                              <w:b/>
                              <w:sz w:val="32"/>
                            </w:rPr>
                            <w:t>de</w:t>
                          </w:r>
                          <w:r>
                            <w:rPr>
                              <w:rFonts w:ascii="Arial"/>
                              <w:b/>
                              <w:spacing w:val="-9"/>
                              <w:sz w:val="32"/>
                            </w:rPr>
                            <w:t xml:space="preserve"> </w:t>
                          </w:r>
                          <w:r>
                            <w:rPr>
                              <w:rFonts w:ascii="Arial"/>
                              <w:b/>
                              <w:spacing w:val="-2"/>
                              <w:sz w:val="32"/>
                            </w:rPr>
                            <w:t>Contas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162pt;margin-top:69.05pt;width:146.8pt;height:47pt;z-index:-157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" filled="f" stroked="f">
              <v:path arrowok="t"/>
              <v:textbox inset="0,0,0,0">
                <w:txbxContent>
                  <w:p w:rsidR="00BD45AF" w:rsidRDefault="00B96BD5">
                    <w:pPr>
                      <w:spacing w:before="9"/>
                      <w:ind w:left="20"/>
                      <w:rPr>
                        <w:rFonts w:ascii="Arial" w:hAnsi="Arial"/>
                        <w:b/>
                        <w:sz w:val="32"/>
                      </w:rPr>
                    </w:pPr>
                    <w:r>
                      <w:rPr>
                        <w:rFonts w:ascii="Arial" w:hAnsi="Arial"/>
                        <w:b/>
                        <w:sz w:val="32"/>
                      </w:rPr>
                      <w:t>Estado</w:t>
                    </w:r>
                    <w:r>
                      <w:rPr>
                        <w:rFonts w:ascii="Arial" w:hAnsi="Arial"/>
                        <w:b/>
                        <w:spacing w:val="-8"/>
                        <w:sz w:val="32"/>
                      </w:rPr>
                      <w:t xml:space="preserve"> </w:t>
                    </w:r>
                    <w:r>
                      <w:rPr>
                        <w:rFonts w:ascii="Arial" w:hAnsi="Arial"/>
                        <w:b/>
                        <w:sz w:val="32"/>
                      </w:rPr>
                      <w:t>do</w:t>
                    </w:r>
                    <w:r>
                      <w:rPr>
                        <w:rFonts w:ascii="Arial" w:hAnsi="Arial"/>
                        <w:b/>
                        <w:spacing w:val="-8"/>
                        <w:sz w:val="32"/>
                      </w:rPr>
                      <w:t xml:space="preserve"> </w:t>
                    </w:r>
                    <w:r>
                      <w:rPr>
                        <w:rFonts w:ascii="Arial" w:hAnsi="Arial"/>
                        <w:b/>
                        <w:spacing w:val="-2"/>
                        <w:sz w:val="32"/>
                      </w:rPr>
                      <w:t>Piauí</w:t>
                    </w:r>
                  </w:p>
                  <w:p w:rsidR="00BD45AF" w:rsidRDefault="00B96BD5">
                    <w:pPr>
                      <w:spacing w:before="174"/>
                      <w:ind w:left="20"/>
                      <w:rPr>
                        <w:rFonts w:ascii="Arial"/>
                        <w:b/>
                        <w:sz w:val="32"/>
                      </w:rPr>
                    </w:pPr>
                    <w:r>
                      <w:rPr>
                        <w:rFonts w:ascii="Arial"/>
                        <w:b/>
                        <w:sz w:val="32"/>
                      </w:rPr>
                      <w:t>Tribunal</w:t>
                    </w:r>
                    <w:r>
                      <w:rPr>
                        <w:rFonts w:ascii="Arial"/>
                        <w:b/>
                        <w:spacing w:val="-10"/>
                        <w:sz w:val="32"/>
                      </w:rPr>
                      <w:t xml:space="preserve"> </w:t>
                    </w:r>
                    <w:r>
                      <w:rPr>
                        <w:rFonts w:ascii="Arial"/>
                        <w:b/>
                        <w:sz w:val="32"/>
                      </w:rPr>
                      <w:t>de</w:t>
                    </w:r>
                    <w:r>
                      <w:rPr>
                        <w:rFonts w:ascii="Arial"/>
                        <w:b/>
                        <w:spacing w:val="-9"/>
                        <w:sz w:val="32"/>
                      </w:rPr>
                      <w:t xml:space="preserve"> </w:t>
                    </w:r>
                    <w:r>
                      <w:rPr>
                        <w:rFonts w:ascii="Arial"/>
                        <w:b/>
                        <w:spacing w:val="-2"/>
                        <w:sz w:val="32"/>
                      </w:rPr>
                      <w:t>Contas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B3662"/>
    <w:multiLevelType w:val="hybridMultilevel"/>
    <w:tmpl w:val="173CE12C"/>
    <w:lvl w:ilvl="0" w:tplc="D806EE72">
      <w:start w:val="1"/>
      <w:numFmt w:val="decimal"/>
      <w:lvlText w:val="%1."/>
      <w:lvlJc w:val="left"/>
      <w:pPr>
        <w:ind w:left="2" w:hanging="274"/>
        <w:jc w:val="left"/>
      </w:pPr>
      <w:rPr>
        <w:rFonts w:ascii="Arial MT" w:eastAsia="Arial MT" w:hAnsi="Arial MT" w:cs="Arial MT" w:hint="default"/>
        <w:b w:val="0"/>
        <w:bCs w:val="0"/>
        <w:i w:val="0"/>
        <w:iCs w:val="0"/>
        <w:spacing w:val="0"/>
        <w:w w:val="99"/>
        <w:sz w:val="24"/>
        <w:szCs w:val="24"/>
        <w:lang w:val="pt-PT" w:eastAsia="en-US" w:bidi="ar-SA"/>
      </w:rPr>
    </w:lvl>
    <w:lvl w:ilvl="1" w:tplc="29AAE60A">
      <w:numFmt w:val="bullet"/>
      <w:lvlText w:val="•"/>
      <w:lvlJc w:val="left"/>
      <w:pPr>
        <w:ind w:left="864" w:hanging="274"/>
      </w:pPr>
      <w:rPr>
        <w:rFonts w:hint="default"/>
        <w:lang w:val="pt-PT" w:eastAsia="en-US" w:bidi="ar-SA"/>
      </w:rPr>
    </w:lvl>
    <w:lvl w:ilvl="2" w:tplc="BA2010F2">
      <w:numFmt w:val="bullet"/>
      <w:lvlText w:val="•"/>
      <w:lvlJc w:val="left"/>
      <w:pPr>
        <w:ind w:left="1729" w:hanging="274"/>
      </w:pPr>
      <w:rPr>
        <w:rFonts w:hint="default"/>
        <w:lang w:val="pt-PT" w:eastAsia="en-US" w:bidi="ar-SA"/>
      </w:rPr>
    </w:lvl>
    <w:lvl w:ilvl="3" w:tplc="587AC5C8">
      <w:numFmt w:val="bullet"/>
      <w:lvlText w:val="•"/>
      <w:lvlJc w:val="left"/>
      <w:pPr>
        <w:ind w:left="2594" w:hanging="274"/>
      </w:pPr>
      <w:rPr>
        <w:rFonts w:hint="default"/>
        <w:lang w:val="pt-PT" w:eastAsia="en-US" w:bidi="ar-SA"/>
      </w:rPr>
    </w:lvl>
    <w:lvl w:ilvl="4" w:tplc="3D346D88">
      <w:numFmt w:val="bullet"/>
      <w:lvlText w:val="•"/>
      <w:lvlJc w:val="left"/>
      <w:pPr>
        <w:ind w:left="3458" w:hanging="274"/>
      </w:pPr>
      <w:rPr>
        <w:rFonts w:hint="default"/>
        <w:lang w:val="pt-PT" w:eastAsia="en-US" w:bidi="ar-SA"/>
      </w:rPr>
    </w:lvl>
    <w:lvl w:ilvl="5" w:tplc="89A038A0">
      <w:numFmt w:val="bullet"/>
      <w:lvlText w:val="•"/>
      <w:lvlJc w:val="left"/>
      <w:pPr>
        <w:ind w:left="4323" w:hanging="274"/>
      </w:pPr>
      <w:rPr>
        <w:rFonts w:hint="default"/>
        <w:lang w:val="pt-PT" w:eastAsia="en-US" w:bidi="ar-SA"/>
      </w:rPr>
    </w:lvl>
    <w:lvl w:ilvl="6" w:tplc="C5109326">
      <w:numFmt w:val="bullet"/>
      <w:lvlText w:val="•"/>
      <w:lvlJc w:val="left"/>
      <w:pPr>
        <w:ind w:left="5188" w:hanging="274"/>
      </w:pPr>
      <w:rPr>
        <w:rFonts w:hint="default"/>
        <w:lang w:val="pt-PT" w:eastAsia="en-US" w:bidi="ar-SA"/>
      </w:rPr>
    </w:lvl>
    <w:lvl w:ilvl="7" w:tplc="9112CF26">
      <w:numFmt w:val="bullet"/>
      <w:lvlText w:val="•"/>
      <w:lvlJc w:val="left"/>
      <w:pPr>
        <w:ind w:left="6053" w:hanging="274"/>
      </w:pPr>
      <w:rPr>
        <w:rFonts w:hint="default"/>
        <w:lang w:val="pt-PT" w:eastAsia="en-US" w:bidi="ar-SA"/>
      </w:rPr>
    </w:lvl>
    <w:lvl w:ilvl="8" w:tplc="8D32260E">
      <w:numFmt w:val="bullet"/>
      <w:lvlText w:val="•"/>
      <w:lvlJc w:val="left"/>
      <w:pPr>
        <w:ind w:left="6917" w:hanging="274"/>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BD45AF"/>
    <w:rsid w:val="00757CF0"/>
    <w:rsid w:val="007A0AA2"/>
    <w:rsid w:val="00A2203F"/>
    <w:rsid w:val="00B4284C"/>
    <w:rsid w:val="00B96BD5"/>
    <w:rsid w:val="00BD45AF"/>
    <w:rsid w:val="00E852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
    <w:qFormat/>
    <w:pPr>
      <w:spacing w:before="9"/>
      <w:ind w:left="20"/>
    </w:pPr>
    <w:rPr>
      <w:rFonts w:ascii="Arial" w:eastAsia="Arial" w:hAnsi="Arial" w:cs="Arial"/>
      <w:b/>
      <w:bCs/>
      <w:sz w:val="32"/>
      <w:szCs w:val="32"/>
    </w:rPr>
  </w:style>
  <w:style w:type="paragraph" w:styleId="PargrafodaLista">
    <w:name w:val="List Paragraph"/>
    <w:basedOn w:val="Normal"/>
    <w:uiPriority w:val="1"/>
    <w:qFormat/>
    <w:pPr>
      <w:spacing w:before="120"/>
      <w:ind w:left="2" w:right="137"/>
      <w:jc w:val="both"/>
    </w:pPr>
  </w:style>
  <w:style w:type="paragraph" w:customStyle="1" w:styleId="TableParagraph">
    <w:name w:val="Table Paragraph"/>
    <w:basedOn w:val="Normal"/>
    <w:uiPriority w:val="1"/>
    <w:qFormat/>
  </w:style>
  <w:style w:type="paragraph" w:customStyle="1" w:styleId="Default">
    <w:name w:val="Default"/>
    <w:rsid w:val="00757CF0"/>
    <w:pPr>
      <w:widowControl/>
      <w:adjustRightInd w:val="0"/>
    </w:pPr>
    <w:rPr>
      <w:rFonts w:ascii="Arial" w:eastAsia="Times New Roman" w:hAnsi="Arial" w:cs="Arial"/>
      <w:color w:val="000000"/>
      <w:sz w:val="24"/>
      <w:szCs w:val="24"/>
      <w:lang w:val="pt-BR" w:eastAsia="pt-BR"/>
    </w:rPr>
  </w:style>
  <w:style w:type="paragraph" w:styleId="Cabealho">
    <w:name w:val="header"/>
    <w:basedOn w:val="Normal"/>
    <w:link w:val="CabealhoChar"/>
    <w:uiPriority w:val="99"/>
    <w:unhideWhenUsed/>
    <w:rsid w:val="007A0AA2"/>
    <w:pPr>
      <w:tabs>
        <w:tab w:val="center" w:pos="4252"/>
        <w:tab w:val="right" w:pos="8504"/>
      </w:tabs>
    </w:pPr>
  </w:style>
  <w:style w:type="character" w:customStyle="1" w:styleId="CabealhoChar">
    <w:name w:val="Cabeçalho Char"/>
    <w:basedOn w:val="Fontepargpadro"/>
    <w:link w:val="Cabealho"/>
    <w:uiPriority w:val="99"/>
    <w:rsid w:val="007A0AA2"/>
    <w:rPr>
      <w:rFonts w:ascii="Arial MT" w:eastAsia="Arial MT" w:hAnsi="Arial MT" w:cs="Arial MT"/>
      <w:lang w:val="pt-PT"/>
    </w:rPr>
  </w:style>
  <w:style w:type="paragraph" w:styleId="Rodap">
    <w:name w:val="footer"/>
    <w:basedOn w:val="Normal"/>
    <w:link w:val="RodapChar"/>
    <w:uiPriority w:val="99"/>
    <w:unhideWhenUsed/>
    <w:rsid w:val="007A0AA2"/>
    <w:pPr>
      <w:tabs>
        <w:tab w:val="center" w:pos="4252"/>
        <w:tab w:val="right" w:pos="8504"/>
      </w:tabs>
    </w:pPr>
  </w:style>
  <w:style w:type="character" w:customStyle="1" w:styleId="RodapChar">
    <w:name w:val="Rodapé Char"/>
    <w:basedOn w:val="Fontepargpadro"/>
    <w:link w:val="Rodap"/>
    <w:uiPriority w:val="99"/>
    <w:rsid w:val="007A0AA2"/>
    <w:rPr>
      <w:rFonts w:ascii="Arial MT" w:eastAsia="Arial MT" w:hAnsi="Arial MT" w:cs="Arial MT"/>
      <w:lang w:val="pt-PT"/>
    </w:rPr>
  </w:style>
  <w:style w:type="paragraph" w:styleId="Textodebalo">
    <w:name w:val="Balloon Text"/>
    <w:basedOn w:val="Normal"/>
    <w:link w:val="TextodebaloChar"/>
    <w:uiPriority w:val="99"/>
    <w:semiHidden/>
    <w:unhideWhenUsed/>
    <w:rsid w:val="007A0AA2"/>
    <w:rPr>
      <w:rFonts w:ascii="Tahoma" w:hAnsi="Tahoma" w:cs="Tahoma"/>
      <w:sz w:val="16"/>
      <w:szCs w:val="16"/>
    </w:rPr>
  </w:style>
  <w:style w:type="character" w:customStyle="1" w:styleId="TextodebaloChar">
    <w:name w:val="Texto de balão Char"/>
    <w:basedOn w:val="Fontepargpadro"/>
    <w:link w:val="Textodebalo"/>
    <w:uiPriority w:val="99"/>
    <w:semiHidden/>
    <w:rsid w:val="007A0AA2"/>
    <w:rPr>
      <w:rFonts w:ascii="Tahoma" w:eastAsia="Arial MT" w:hAnsi="Tahoma" w:cs="Tahoma"/>
      <w:sz w:val="16"/>
      <w:szCs w:val="16"/>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
    <w:qFormat/>
    <w:pPr>
      <w:spacing w:before="9"/>
      <w:ind w:left="20"/>
    </w:pPr>
    <w:rPr>
      <w:rFonts w:ascii="Arial" w:eastAsia="Arial" w:hAnsi="Arial" w:cs="Arial"/>
      <w:b/>
      <w:bCs/>
      <w:sz w:val="32"/>
      <w:szCs w:val="32"/>
    </w:rPr>
  </w:style>
  <w:style w:type="paragraph" w:styleId="PargrafodaLista">
    <w:name w:val="List Paragraph"/>
    <w:basedOn w:val="Normal"/>
    <w:uiPriority w:val="1"/>
    <w:qFormat/>
    <w:pPr>
      <w:spacing w:before="120"/>
      <w:ind w:left="2" w:right="137"/>
      <w:jc w:val="both"/>
    </w:pPr>
  </w:style>
  <w:style w:type="paragraph" w:customStyle="1" w:styleId="TableParagraph">
    <w:name w:val="Table Paragraph"/>
    <w:basedOn w:val="Normal"/>
    <w:uiPriority w:val="1"/>
    <w:qFormat/>
  </w:style>
  <w:style w:type="paragraph" w:customStyle="1" w:styleId="Default">
    <w:name w:val="Default"/>
    <w:rsid w:val="00757CF0"/>
    <w:pPr>
      <w:widowControl/>
      <w:adjustRightInd w:val="0"/>
    </w:pPr>
    <w:rPr>
      <w:rFonts w:ascii="Arial" w:eastAsia="Times New Roman" w:hAnsi="Arial" w:cs="Arial"/>
      <w:color w:val="000000"/>
      <w:sz w:val="24"/>
      <w:szCs w:val="24"/>
      <w:lang w:val="pt-BR" w:eastAsia="pt-BR"/>
    </w:rPr>
  </w:style>
  <w:style w:type="paragraph" w:styleId="Cabealho">
    <w:name w:val="header"/>
    <w:basedOn w:val="Normal"/>
    <w:link w:val="CabealhoChar"/>
    <w:uiPriority w:val="99"/>
    <w:unhideWhenUsed/>
    <w:rsid w:val="007A0AA2"/>
    <w:pPr>
      <w:tabs>
        <w:tab w:val="center" w:pos="4252"/>
        <w:tab w:val="right" w:pos="8504"/>
      </w:tabs>
    </w:pPr>
  </w:style>
  <w:style w:type="character" w:customStyle="1" w:styleId="CabealhoChar">
    <w:name w:val="Cabeçalho Char"/>
    <w:basedOn w:val="Fontepargpadro"/>
    <w:link w:val="Cabealho"/>
    <w:uiPriority w:val="99"/>
    <w:rsid w:val="007A0AA2"/>
    <w:rPr>
      <w:rFonts w:ascii="Arial MT" w:eastAsia="Arial MT" w:hAnsi="Arial MT" w:cs="Arial MT"/>
      <w:lang w:val="pt-PT"/>
    </w:rPr>
  </w:style>
  <w:style w:type="paragraph" w:styleId="Rodap">
    <w:name w:val="footer"/>
    <w:basedOn w:val="Normal"/>
    <w:link w:val="RodapChar"/>
    <w:uiPriority w:val="99"/>
    <w:unhideWhenUsed/>
    <w:rsid w:val="007A0AA2"/>
    <w:pPr>
      <w:tabs>
        <w:tab w:val="center" w:pos="4252"/>
        <w:tab w:val="right" w:pos="8504"/>
      </w:tabs>
    </w:pPr>
  </w:style>
  <w:style w:type="character" w:customStyle="1" w:styleId="RodapChar">
    <w:name w:val="Rodapé Char"/>
    <w:basedOn w:val="Fontepargpadro"/>
    <w:link w:val="Rodap"/>
    <w:uiPriority w:val="99"/>
    <w:rsid w:val="007A0AA2"/>
    <w:rPr>
      <w:rFonts w:ascii="Arial MT" w:eastAsia="Arial MT" w:hAnsi="Arial MT" w:cs="Arial MT"/>
      <w:lang w:val="pt-PT"/>
    </w:rPr>
  </w:style>
  <w:style w:type="paragraph" w:styleId="Textodebalo">
    <w:name w:val="Balloon Text"/>
    <w:basedOn w:val="Normal"/>
    <w:link w:val="TextodebaloChar"/>
    <w:uiPriority w:val="99"/>
    <w:semiHidden/>
    <w:unhideWhenUsed/>
    <w:rsid w:val="007A0AA2"/>
    <w:rPr>
      <w:rFonts w:ascii="Tahoma" w:hAnsi="Tahoma" w:cs="Tahoma"/>
      <w:sz w:val="16"/>
      <w:szCs w:val="16"/>
    </w:rPr>
  </w:style>
  <w:style w:type="character" w:customStyle="1" w:styleId="TextodebaloChar">
    <w:name w:val="Texto de balão Char"/>
    <w:basedOn w:val="Fontepargpadro"/>
    <w:link w:val="Textodebalo"/>
    <w:uiPriority w:val="99"/>
    <w:semiHidden/>
    <w:rsid w:val="007A0AA2"/>
    <w:rPr>
      <w:rFonts w:ascii="Tahoma" w:eastAsia="Arial MT" w:hAnsi="Tahoma" w:cs="Tahoma"/>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367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958</Words>
  <Characters>5179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Gilson Soares de Araujo</dc:creator>
  <cp:lastModifiedBy>Yngrid Fernandes Nogueira de Sousa</cp:lastModifiedBy>
  <cp:revision>8</cp:revision>
  <cp:lastPrinted>2025-03-27T11:18:00Z</cp:lastPrinted>
  <dcterms:created xsi:type="dcterms:W3CDTF">2025-01-30T13:20:00Z</dcterms:created>
  <dcterms:modified xsi:type="dcterms:W3CDTF">2025-03-27T11:19:00Z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Creator">
    <vt:lpwstr>Microsoft® Word 2010</vt:lpwstr>
  </property>
  <property fmtid="{D5CDD505-2E9C-101B-9397-08002B2CF9AE}" pid="4" name="LastSaved">
    <vt:filetime>2025-01-30T00:00:00Z</vt:filetime>
  </property>
  <property fmtid="{D5CDD505-2E9C-101B-9397-08002B2CF9AE}" pid="5" name="Producer">
    <vt:lpwstr>Microsoft® Word 2010</vt:lpwstr>
  </property>
</Properties>
</file>